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573" w:vertAnchor="page" w:horzAnchor="margin" w:tblpXSpec="center" w:tblpY="879"/>
        <w:tblOverlap w:val="never"/>
        <w:tblW w:w="10263" w:type="dxa"/>
        <w:tblLayout w:type="fixed"/>
        <w:tblLook w:val="01E0" w:firstRow="1" w:lastRow="1" w:firstColumn="1" w:lastColumn="1" w:noHBand="0" w:noVBand="0"/>
      </w:tblPr>
      <w:tblGrid>
        <w:gridCol w:w="2207"/>
        <w:gridCol w:w="5604"/>
        <w:gridCol w:w="2452"/>
      </w:tblGrid>
      <w:tr w:rsidR="00C14D52" w:rsidRPr="00964366" w:rsidTr="00430840">
        <w:trPr>
          <w:trHeight w:val="1957"/>
        </w:trPr>
        <w:tc>
          <w:tcPr>
            <w:tcW w:w="2207" w:type="dxa"/>
            <w:tcBorders>
              <w:bottom w:val="double" w:sz="4" w:space="0" w:color="99CC00"/>
            </w:tcBorders>
            <w:shd w:val="clear" w:color="auto" w:fill="auto"/>
          </w:tcPr>
          <w:p w:rsidR="00C14D52" w:rsidRPr="00964366" w:rsidRDefault="00C14D52" w:rsidP="00430840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sz w:val="20"/>
                <w:szCs w:val="20"/>
                <w:lang w:eastAsia="fr-FR"/>
              </w:rPr>
            </w:pPr>
            <w:r w:rsidRPr="00964366">
              <w:rPr>
                <w:noProof/>
                <w:sz w:val="20"/>
                <w:szCs w:val="20"/>
              </w:rPr>
              <w:drawing>
                <wp:inline distT="0" distB="0" distL="0" distR="0" wp14:anchorId="5265F0A4" wp14:editId="2BCDA9EF">
                  <wp:extent cx="1350645" cy="107378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D52" w:rsidRPr="00964366" w:rsidRDefault="00C14D52" w:rsidP="00430840">
            <w:pPr>
              <w:tabs>
                <w:tab w:val="center" w:pos="4536"/>
                <w:tab w:val="right" w:pos="9072"/>
              </w:tabs>
              <w:spacing w:after="40"/>
              <w:rPr>
                <w:sz w:val="12"/>
                <w:szCs w:val="12"/>
                <w:lang w:eastAsia="fr-FR"/>
              </w:rPr>
            </w:pPr>
            <w:r w:rsidRPr="00964366">
              <w:rPr>
                <w:rFonts w:ascii="Arial" w:hAnsi="Arial" w:cs="Arial"/>
                <w:color w:val="F8C3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604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:rsidR="00C14D52" w:rsidRPr="00964366" w:rsidRDefault="00C14D52" w:rsidP="00430840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color w:val="808080"/>
                <w:spacing w:val="80"/>
              </w:rPr>
            </w:pPr>
            <w:r w:rsidRPr="00964366">
              <w:rPr>
                <w:rFonts w:ascii="Arial Narrow" w:hAnsi="Arial Narrow" w:cs="Tahoma"/>
                <w:b/>
                <w:color w:val="808080"/>
                <w:spacing w:val="80"/>
              </w:rPr>
              <w:t>ОПЕРАТИВНА ПРОГРАМА</w:t>
            </w:r>
          </w:p>
          <w:p w:rsidR="00C14D52" w:rsidRPr="00964366" w:rsidRDefault="00C14D52" w:rsidP="00430840">
            <w:pPr>
              <w:tabs>
                <w:tab w:val="center" w:pos="4536"/>
                <w:tab w:val="right" w:pos="9072"/>
              </w:tabs>
              <w:ind w:right="-202"/>
              <w:jc w:val="center"/>
              <w:rPr>
                <w:rFonts w:ascii="Arial Narrow" w:hAnsi="Arial Narrow" w:cs="Tahoma"/>
                <w:b/>
                <w:color w:val="808080"/>
                <w:spacing w:val="80"/>
              </w:rPr>
            </w:pPr>
            <w:r w:rsidRPr="00964366">
              <w:rPr>
                <w:rFonts w:ascii="Arial Narrow" w:hAnsi="Arial Narrow" w:cs="Tahoma"/>
                <w:b/>
                <w:color w:val="808080"/>
                <w:spacing w:val="80"/>
              </w:rPr>
              <w:t>“ОКОЛНА СРЕДА 2014 – 2020 г.”</w:t>
            </w:r>
          </w:p>
        </w:tc>
        <w:tc>
          <w:tcPr>
            <w:tcW w:w="2452" w:type="dxa"/>
            <w:tcBorders>
              <w:bottom w:val="double" w:sz="4" w:space="0" w:color="99CC00"/>
            </w:tcBorders>
            <w:shd w:val="clear" w:color="auto" w:fill="auto"/>
          </w:tcPr>
          <w:p w:rsidR="00C14D52" w:rsidRPr="00964366" w:rsidRDefault="00C14D52" w:rsidP="00430840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436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FCEDF3" wp14:editId="014138A1">
                  <wp:extent cx="584835" cy="393700"/>
                  <wp:effectExtent l="0" t="0" r="571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D52" w:rsidRPr="00964366" w:rsidRDefault="00C14D52" w:rsidP="00430840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</w:pPr>
            <w:r w:rsidRPr="00964366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C14D52" w:rsidRPr="00964366" w:rsidRDefault="00C14D52" w:rsidP="00430840">
            <w:pPr>
              <w:jc w:val="center"/>
              <w:rPr>
                <w:rFonts w:ascii="Arial Narrow" w:hAnsi="Arial Narrow" w:cs="Tahoma"/>
                <w:b/>
                <w:color w:val="808080"/>
                <w:spacing w:val="80"/>
              </w:rPr>
            </w:pPr>
            <w:r w:rsidRPr="00964366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</w:tbl>
    <w:p w:rsidR="00983283" w:rsidRPr="00964366" w:rsidRDefault="00983283"/>
    <w:p w:rsidR="009F5CE8" w:rsidRPr="00964366" w:rsidRDefault="009F5CE8"/>
    <w:p w:rsidR="009F5CE8" w:rsidRPr="00964366" w:rsidRDefault="006D7AFD">
      <w:r>
        <w:t>Изх. № 10-11-13885/02.12.2019г.</w:t>
      </w:r>
    </w:p>
    <w:p w:rsidR="00C14D52" w:rsidRPr="00964366" w:rsidRDefault="00C14D52" w:rsidP="00C14D52">
      <w:pPr>
        <w:ind w:firstLine="5040"/>
        <w:rPr>
          <w:b/>
        </w:rPr>
      </w:pPr>
      <w:r w:rsidRPr="00964366">
        <w:rPr>
          <w:b/>
        </w:rPr>
        <w:t xml:space="preserve">ДО </w:t>
      </w:r>
    </w:p>
    <w:p w:rsidR="00C14D52" w:rsidRPr="00964366" w:rsidRDefault="00C14D52" w:rsidP="00C14D52">
      <w:pPr>
        <w:tabs>
          <w:tab w:val="left" w:pos="5220"/>
        </w:tabs>
        <w:ind w:firstLine="5040"/>
        <w:jc w:val="center"/>
        <w:rPr>
          <w:b/>
        </w:rPr>
      </w:pPr>
      <w:r w:rsidRPr="00964366">
        <w:rPr>
          <w:b/>
        </w:rPr>
        <w:t>ВСИЧКИ ЗАИНТЕРЕСОВАНИ ЛИЦА</w:t>
      </w:r>
    </w:p>
    <w:p w:rsidR="00C14D52" w:rsidRPr="00964366" w:rsidRDefault="00C14D52"/>
    <w:p w:rsidR="00C14D52" w:rsidRPr="00964366" w:rsidRDefault="00C14D52"/>
    <w:p w:rsidR="00C14D52" w:rsidRPr="00964366" w:rsidRDefault="00C14D52"/>
    <w:p w:rsidR="00C14D52" w:rsidRPr="00964366" w:rsidRDefault="00C14D52" w:rsidP="00C14D52">
      <w:pPr>
        <w:jc w:val="center"/>
        <w:rPr>
          <w:b/>
          <w:caps/>
        </w:rPr>
      </w:pPr>
      <w:r w:rsidRPr="00964366">
        <w:rPr>
          <w:b/>
        </w:rPr>
        <w:t xml:space="preserve">ПОКАНА ЗА </w:t>
      </w:r>
      <w:r w:rsidRPr="00964366">
        <w:rPr>
          <w:b/>
          <w:caps/>
        </w:rPr>
        <w:t>пазарни консултации</w:t>
      </w:r>
    </w:p>
    <w:p w:rsidR="00C14D52" w:rsidRPr="00964366" w:rsidRDefault="00C14D52" w:rsidP="00C14D52">
      <w:pPr>
        <w:jc w:val="center"/>
        <w:rPr>
          <w:b/>
          <w:caps/>
        </w:rPr>
      </w:pPr>
    </w:p>
    <w:p w:rsidR="00C14D52" w:rsidRPr="00964366" w:rsidRDefault="00C14D52" w:rsidP="00C14D52">
      <w:pPr>
        <w:jc w:val="center"/>
        <w:rPr>
          <w:b/>
          <w:caps/>
        </w:rPr>
      </w:pPr>
    </w:p>
    <w:p w:rsidR="005815DD" w:rsidRPr="00964366" w:rsidRDefault="005815DD" w:rsidP="00C14D52">
      <w:pPr>
        <w:jc w:val="center"/>
        <w:rPr>
          <w:b/>
          <w:caps/>
        </w:rPr>
      </w:pPr>
    </w:p>
    <w:p w:rsidR="00C14D52" w:rsidRPr="00964366" w:rsidRDefault="00C14D52" w:rsidP="005815DD">
      <w:pPr>
        <w:spacing w:after="120"/>
        <w:ind w:firstLine="720"/>
        <w:rPr>
          <w:b/>
          <w:caps/>
        </w:rPr>
      </w:pPr>
      <w:r w:rsidRPr="00964366">
        <w:rPr>
          <w:b/>
          <w:caps/>
        </w:rPr>
        <w:t>УВАЖАЕМИ ГОСПОЖИ И ГОСПОДА,</w:t>
      </w:r>
    </w:p>
    <w:p w:rsidR="00C14D52" w:rsidRPr="00964366" w:rsidRDefault="00C14D52" w:rsidP="00232232">
      <w:pPr>
        <w:ind w:firstLine="720"/>
        <w:jc w:val="both"/>
      </w:pPr>
      <w:r w:rsidRPr="00964366">
        <w:t xml:space="preserve">Във връзка с инвестиционния интерес на община Стара Загора за кандидатстване с проект „Закриване и рекултивация на старо депо за твърди битови отпадъци на община Стара Загора” за предоставяне на безвъзмездна финансова помощ по </w:t>
      </w:r>
      <w:r w:rsidRPr="00964366">
        <w:rPr>
          <w:b/>
        </w:rPr>
        <w:t xml:space="preserve">процедура №BG16M1OP002-2.010 „Рекултивация на депа за закриване, предмет на процедура по нарушение на правото на ЕС по дело С-145/14“ по приоритетна ос 2 на Оперативна програма „Околна среда 2014-2020 г.” </w:t>
      </w:r>
      <w:r w:rsidRPr="00964366">
        <w:t xml:space="preserve">е необходимо </w:t>
      </w:r>
      <w:r w:rsidR="00142B36" w:rsidRPr="00964366">
        <w:t>общината да определи някои от заявените за финансиране разходи по проекта за обект: „</w:t>
      </w:r>
      <w:r w:rsidR="004B549A" w:rsidRPr="00964366">
        <w:t>З</w:t>
      </w:r>
      <w:r w:rsidR="00142B36" w:rsidRPr="00964366">
        <w:t>акриване и рекултивация на старо депо за твърди битови отпадъци на община Стара Загора“ чрез прилагане на способа на пазарни консултации по смисъла на чл.44 от ЗОП</w:t>
      </w:r>
      <w:r w:rsidR="00743219" w:rsidRPr="00964366">
        <w:t>, съгласно изискванията на т. 14.7 от раздел 14. „Категории разходи, допустими за финансиране“ на „Насоки за кандидатстване по процедура №BG16M1OP002-2.010 „Рекултивация на депа за закриване, предмет на процедура по нарушение на правото на ЕС по дело С-145/14“ по приоритетна ос 2 на Оперативна програма „Околна среда 2014-2020 г.”</w:t>
      </w:r>
    </w:p>
    <w:p w:rsidR="00743219" w:rsidRPr="00964366" w:rsidRDefault="00743219" w:rsidP="00232232">
      <w:pPr>
        <w:ind w:firstLine="720"/>
        <w:jc w:val="both"/>
      </w:pPr>
      <w:r w:rsidRPr="00964366">
        <w:t xml:space="preserve">Настоящата покана за пазарни консултации цели определяне на пазарната стойност за изпълнение на </w:t>
      </w:r>
      <w:r w:rsidR="001C778E" w:rsidRPr="00964366">
        <w:t xml:space="preserve">обществена поръчка с предмет: </w:t>
      </w:r>
      <w:r w:rsidR="009F5CE8" w:rsidRPr="00964366">
        <w:t>„СТРОИТЕЛЕН НАДЗОР НА ОБЕКТ: „ТЕХНИЧЕСКА РЕКУЛТИВАЦИЯ НА СТАРОТО ДЕПО ЗА ТВЪРДИ БИТОВИ ОТПАДЪЦИ НА ОБЩИНА СТАРА ЗАГОРА“</w:t>
      </w:r>
      <w:r w:rsidR="00E670BD" w:rsidRPr="00964366">
        <w:t xml:space="preserve"> съгласно приложените към </w:t>
      </w:r>
      <w:r w:rsidR="0034336D">
        <w:t xml:space="preserve">поканата </w:t>
      </w:r>
      <w:r w:rsidR="00E670BD" w:rsidRPr="00964366">
        <w:t>технически спецификации</w:t>
      </w:r>
      <w:r w:rsidRPr="00964366">
        <w:t>.</w:t>
      </w:r>
    </w:p>
    <w:p w:rsidR="00142B36" w:rsidRPr="00964366" w:rsidRDefault="00142B36" w:rsidP="003559A9">
      <w:pPr>
        <w:ind w:firstLine="720"/>
        <w:jc w:val="both"/>
      </w:pPr>
      <w:r w:rsidRPr="00964366">
        <w:t>Индикативните оферти на потенциалните оференти в настоящите пазарни консултации по чл.44, ал.1 от ЗОП следва да съдържат:</w:t>
      </w:r>
    </w:p>
    <w:p w:rsidR="00142B36" w:rsidRPr="00964366" w:rsidRDefault="00142B36" w:rsidP="00142B36">
      <w:pPr>
        <w:pStyle w:val="a5"/>
        <w:numPr>
          <w:ilvl w:val="0"/>
          <w:numId w:val="1"/>
        </w:numPr>
        <w:jc w:val="both"/>
      </w:pPr>
      <w:r w:rsidRPr="00964366">
        <w:t>Наименование на оферента;</w:t>
      </w:r>
    </w:p>
    <w:p w:rsidR="00142B36" w:rsidRPr="00964366" w:rsidRDefault="00142B36" w:rsidP="00142B36">
      <w:pPr>
        <w:pStyle w:val="a5"/>
        <w:numPr>
          <w:ilvl w:val="0"/>
          <w:numId w:val="1"/>
        </w:numPr>
        <w:jc w:val="both"/>
      </w:pPr>
      <w:r w:rsidRPr="00964366">
        <w:t>Дата на издаване на офертата;</w:t>
      </w:r>
    </w:p>
    <w:p w:rsidR="00142B36" w:rsidRPr="00964366" w:rsidRDefault="00142B36" w:rsidP="00142B36">
      <w:pPr>
        <w:pStyle w:val="a5"/>
        <w:numPr>
          <w:ilvl w:val="0"/>
          <w:numId w:val="1"/>
        </w:numPr>
        <w:jc w:val="both"/>
      </w:pPr>
      <w:r w:rsidRPr="00964366">
        <w:t xml:space="preserve">Подпис и </w:t>
      </w:r>
      <w:r w:rsidR="00406313" w:rsidRPr="00964366">
        <w:t xml:space="preserve">по възможност </w:t>
      </w:r>
      <w:r w:rsidRPr="00964366">
        <w:t>печат на оферента;</w:t>
      </w:r>
    </w:p>
    <w:p w:rsidR="00142B36" w:rsidRPr="00964366" w:rsidRDefault="00142B36" w:rsidP="00142B36">
      <w:pPr>
        <w:pStyle w:val="a5"/>
        <w:numPr>
          <w:ilvl w:val="0"/>
          <w:numId w:val="1"/>
        </w:numPr>
        <w:jc w:val="both"/>
      </w:pPr>
      <w:r w:rsidRPr="00964366">
        <w:t>Ценово предложение в лев</w:t>
      </w:r>
      <w:r w:rsidR="003559A9" w:rsidRPr="00964366">
        <w:t xml:space="preserve">а </w:t>
      </w:r>
      <w:r w:rsidRPr="00964366">
        <w:t>с посочен без включен ДДС и с включен ДДС.</w:t>
      </w:r>
    </w:p>
    <w:p w:rsidR="00142B36" w:rsidRPr="00964366" w:rsidRDefault="00743219" w:rsidP="00232232">
      <w:pPr>
        <w:ind w:firstLine="720"/>
        <w:jc w:val="both"/>
      </w:pPr>
      <w:r w:rsidRPr="00964366">
        <w:t>О</w:t>
      </w:r>
      <w:r w:rsidR="00142B36" w:rsidRPr="00964366">
        <w:t xml:space="preserve">ферентите следва да изпращат индикативните си оферти по попълнен образец – Приложение </w:t>
      </w:r>
      <w:r w:rsidR="00232232" w:rsidRPr="00964366">
        <w:t>№</w:t>
      </w:r>
      <w:r w:rsidR="009F5CE8" w:rsidRPr="00964366">
        <w:t>2</w:t>
      </w:r>
      <w:r w:rsidR="00142B36" w:rsidRPr="00964366">
        <w:t xml:space="preserve"> към настоящата покана.</w:t>
      </w:r>
      <w:r w:rsidR="008938CB" w:rsidRPr="00964366">
        <w:t xml:space="preserve"> Предложената обща индикативна цена за изпълнение на поръчката следва да е изготвена при изчисление </w:t>
      </w:r>
      <w:r w:rsidR="00964366" w:rsidRPr="00964366">
        <w:t>по</w:t>
      </w:r>
      <w:r w:rsidR="008938CB" w:rsidRPr="00964366">
        <w:t xml:space="preserve"> </w:t>
      </w:r>
      <w:r w:rsidR="00964366" w:rsidRPr="00964366">
        <w:t xml:space="preserve">часове за изисквания брой </w:t>
      </w:r>
      <w:r w:rsidR="008938CB" w:rsidRPr="00964366">
        <w:t xml:space="preserve">експерти не по-по-малко от заложените в техническата спецификация, като часовете </w:t>
      </w:r>
      <w:r w:rsidR="008938CB" w:rsidRPr="00964366">
        <w:lastRenderedPageBreak/>
        <w:t>включват всички разходи по изпълнение на поръчката, вкл. разходи по</w:t>
      </w:r>
      <w:r w:rsidR="00964366" w:rsidRPr="00964366">
        <w:t xml:space="preserve"> административно уп</w:t>
      </w:r>
      <w:r w:rsidR="008938CB" w:rsidRPr="00964366">
        <w:t>равление на договора, разходи за разпечатване в необходимия брой екземпляри на необходимите актове, протоколи и други изискуеми книжа, както и разходи за командироване на необходимия брой експерти за изискуемия минимален период до и на обекта, др. разходи.</w:t>
      </w:r>
    </w:p>
    <w:p w:rsidR="00DF45C6" w:rsidRPr="00964366" w:rsidRDefault="00DF45C6" w:rsidP="003559A9">
      <w:pPr>
        <w:ind w:firstLine="720"/>
        <w:jc w:val="both"/>
      </w:pPr>
      <w:r w:rsidRPr="00964366">
        <w:t xml:space="preserve">Уведомяваме Ви, че обектът е </w:t>
      </w:r>
      <w:r w:rsidRPr="00964366">
        <w:rPr>
          <w:b/>
        </w:rPr>
        <w:t>втора категория</w:t>
      </w:r>
      <w:r w:rsidRPr="00964366">
        <w:t>, съгласно Закона за устройство на територията.</w:t>
      </w:r>
    </w:p>
    <w:p w:rsidR="00DF45C6" w:rsidRPr="00964366" w:rsidRDefault="00DF45C6" w:rsidP="003559A9">
      <w:pPr>
        <w:ind w:firstLine="720"/>
        <w:jc w:val="both"/>
      </w:pPr>
      <w:r w:rsidRPr="00964366">
        <w:t xml:space="preserve">Настоящата покана </w:t>
      </w:r>
      <w:r w:rsidR="00C57B73">
        <w:t xml:space="preserve">се изпраща </w:t>
      </w:r>
      <w:r w:rsidRPr="00964366">
        <w:t>на основание чл.44, ал.1 от ЗОП във връзка с изискванията на т. 14.7 от раздел 14. „Категории разходи, допустими за финансиране“ на „Насоки за кандидатстване по процедура №BG16M1OP002-2.010 „Рекултивация на депа за закриване, предмет на процедура по нарушение на правото на ЕС по дело С-145/14“ по приоритетна ос 2 на Оперативна прогр</w:t>
      </w:r>
      <w:r w:rsidR="003559A9" w:rsidRPr="00964366">
        <w:t>ама „Околна среда 2014-2020 г.”</w:t>
      </w:r>
    </w:p>
    <w:p w:rsidR="00DF45C6" w:rsidRPr="00964366" w:rsidRDefault="00DF45C6" w:rsidP="003559A9">
      <w:pPr>
        <w:ind w:firstLine="720"/>
        <w:jc w:val="both"/>
        <w:rPr>
          <w:b/>
        </w:rPr>
      </w:pPr>
      <w:r w:rsidRPr="00964366">
        <w:t xml:space="preserve">Срокът за получаване на оферти е до </w:t>
      </w:r>
      <w:r w:rsidRPr="00964366">
        <w:rPr>
          <w:b/>
        </w:rPr>
        <w:t xml:space="preserve">17:00 часа на 05.12.2019г. на </w:t>
      </w:r>
      <w:r w:rsidR="00232232" w:rsidRPr="00964366">
        <w:rPr>
          <w:b/>
        </w:rPr>
        <w:t>адрес: гр. </w:t>
      </w:r>
      <w:r w:rsidRPr="00964366">
        <w:rPr>
          <w:b/>
        </w:rPr>
        <w:t>Стара Загора 6000, Община Стара Загора, бул. „Цар Симеон Велики”</w:t>
      </w:r>
      <w:r w:rsidR="005815DD" w:rsidRPr="00964366">
        <w:rPr>
          <w:b/>
        </w:rPr>
        <w:t xml:space="preserve"> </w:t>
      </w:r>
      <w:r w:rsidRPr="00964366">
        <w:rPr>
          <w:b/>
        </w:rPr>
        <w:t>№107</w:t>
      </w:r>
      <w:r w:rsidR="00C05BA5">
        <w:rPr>
          <w:b/>
        </w:rPr>
        <w:t>, стая 306</w:t>
      </w:r>
      <w:r w:rsidR="003559A9" w:rsidRPr="00964366">
        <w:rPr>
          <w:b/>
        </w:rPr>
        <w:t xml:space="preserve"> или на електронен адрес: </w:t>
      </w:r>
      <w:r w:rsidR="00C05BA5" w:rsidRPr="00C05BA5">
        <w:rPr>
          <w:b/>
        </w:rPr>
        <w:t>m.boyanova@starazagora.bg</w:t>
      </w:r>
    </w:p>
    <w:p w:rsidR="00DF45C6" w:rsidRPr="00964366" w:rsidRDefault="00DF45C6" w:rsidP="00DF45C6">
      <w:pPr>
        <w:ind w:left="360"/>
        <w:jc w:val="both"/>
        <w:rPr>
          <w:b/>
        </w:rPr>
      </w:pPr>
    </w:p>
    <w:p w:rsidR="00232232" w:rsidRPr="00964366" w:rsidRDefault="00232232" w:rsidP="00DF45C6">
      <w:pPr>
        <w:ind w:left="360"/>
        <w:jc w:val="both"/>
        <w:rPr>
          <w:b/>
        </w:rPr>
      </w:pPr>
    </w:p>
    <w:p w:rsidR="00232232" w:rsidRPr="00964366" w:rsidRDefault="00232232" w:rsidP="00DF45C6">
      <w:pPr>
        <w:ind w:left="360"/>
        <w:jc w:val="both"/>
        <w:rPr>
          <w:b/>
        </w:rPr>
      </w:pPr>
    </w:p>
    <w:p w:rsidR="00DF45C6" w:rsidRPr="00964366" w:rsidRDefault="00232232" w:rsidP="00232232">
      <w:pPr>
        <w:ind w:left="360" w:firstLine="360"/>
        <w:jc w:val="both"/>
        <w:rPr>
          <w:b/>
        </w:rPr>
      </w:pPr>
      <w:r w:rsidRPr="00964366">
        <w:rPr>
          <w:b/>
        </w:rPr>
        <w:t>Приложения:</w:t>
      </w:r>
    </w:p>
    <w:p w:rsidR="00232232" w:rsidRPr="00964366" w:rsidRDefault="00232232" w:rsidP="00232232">
      <w:pPr>
        <w:pStyle w:val="a5"/>
        <w:numPr>
          <w:ilvl w:val="0"/>
          <w:numId w:val="2"/>
        </w:numPr>
        <w:jc w:val="both"/>
      </w:pPr>
      <w:r w:rsidRPr="00964366">
        <w:t>Техническа спецификация – Приложение №1;</w:t>
      </w:r>
    </w:p>
    <w:p w:rsidR="00232232" w:rsidRPr="00964366" w:rsidRDefault="00232232" w:rsidP="00232232">
      <w:pPr>
        <w:pStyle w:val="a5"/>
        <w:numPr>
          <w:ilvl w:val="0"/>
          <w:numId w:val="2"/>
        </w:numPr>
        <w:jc w:val="both"/>
      </w:pPr>
      <w:r w:rsidRPr="00964366">
        <w:t>Образец на Оферта - Приложение №</w:t>
      </w:r>
      <w:r w:rsidR="009F5CE8" w:rsidRPr="00964366">
        <w:t>2</w:t>
      </w:r>
      <w:r w:rsidRPr="00964366">
        <w:t>;</w:t>
      </w:r>
    </w:p>
    <w:p w:rsidR="00232232" w:rsidRPr="00964366" w:rsidRDefault="00232232" w:rsidP="00232232">
      <w:pPr>
        <w:jc w:val="both"/>
      </w:pPr>
    </w:p>
    <w:p w:rsidR="00232232" w:rsidRPr="00964366" w:rsidRDefault="00232232" w:rsidP="00232232">
      <w:pPr>
        <w:jc w:val="both"/>
      </w:pPr>
    </w:p>
    <w:p w:rsidR="00B86AC6" w:rsidRPr="00964366" w:rsidRDefault="00B86AC6" w:rsidP="00232232">
      <w:pPr>
        <w:jc w:val="both"/>
      </w:pPr>
    </w:p>
    <w:p w:rsidR="00B86AC6" w:rsidRPr="00964366" w:rsidRDefault="00B86AC6" w:rsidP="00232232">
      <w:pPr>
        <w:jc w:val="both"/>
      </w:pPr>
    </w:p>
    <w:p w:rsidR="003559A9" w:rsidRPr="00964366" w:rsidRDefault="003559A9" w:rsidP="00232232">
      <w:pPr>
        <w:jc w:val="both"/>
      </w:pPr>
    </w:p>
    <w:p w:rsidR="00232232" w:rsidRPr="00964366" w:rsidRDefault="00232232" w:rsidP="00232232">
      <w:pPr>
        <w:jc w:val="both"/>
      </w:pPr>
    </w:p>
    <w:p w:rsidR="00232232" w:rsidRPr="00964366" w:rsidRDefault="00232232" w:rsidP="00E0682C">
      <w:r w:rsidRPr="00964366">
        <w:t>С уважение:</w:t>
      </w:r>
      <w:r w:rsidR="000901DC">
        <w:t xml:space="preserve"> /П/</w:t>
      </w:r>
      <w:bookmarkStart w:id="0" w:name="_GoBack"/>
      <w:bookmarkEnd w:id="0"/>
    </w:p>
    <w:p w:rsidR="00C57B73" w:rsidRDefault="006D7AFD" w:rsidP="00E0682C">
      <w:pPr>
        <w:jc w:val="both"/>
      </w:pPr>
      <w:r>
        <w:t>Живко Тодоров</w:t>
      </w:r>
    </w:p>
    <w:p w:rsidR="00232232" w:rsidRPr="00964366" w:rsidRDefault="006D7AFD" w:rsidP="00E0682C">
      <w:pPr>
        <w:jc w:val="both"/>
      </w:pPr>
      <w:r>
        <w:t>Кмет на</w:t>
      </w:r>
      <w:r w:rsidR="00C57B73">
        <w:t xml:space="preserve"> </w:t>
      </w:r>
      <w:r w:rsidR="00232232" w:rsidRPr="00964366">
        <w:t>община Стара Загора</w:t>
      </w:r>
    </w:p>
    <w:p w:rsidR="00232232" w:rsidRPr="00964366" w:rsidRDefault="00232232" w:rsidP="00232232">
      <w:pPr>
        <w:ind w:firstLine="5040"/>
        <w:jc w:val="both"/>
      </w:pPr>
    </w:p>
    <w:p w:rsidR="00232232" w:rsidRPr="00964366" w:rsidRDefault="00232232" w:rsidP="00C57B73">
      <w:pPr>
        <w:spacing w:after="200" w:line="276" w:lineRule="auto"/>
      </w:pPr>
    </w:p>
    <w:sectPr w:rsidR="00232232" w:rsidRPr="009643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2D" w:rsidRDefault="00B7762D" w:rsidP="00C57B73">
      <w:r>
        <w:separator/>
      </w:r>
    </w:p>
  </w:endnote>
  <w:endnote w:type="continuationSeparator" w:id="0">
    <w:p w:rsidR="00B7762D" w:rsidRDefault="00B7762D" w:rsidP="00C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3" w:rsidRDefault="00C57B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03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B73" w:rsidRDefault="00C57B7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B73" w:rsidRDefault="00C57B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3" w:rsidRDefault="00C57B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2D" w:rsidRDefault="00B7762D" w:rsidP="00C57B73">
      <w:r>
        <w:separator/>
      </w:r>
    </w:p>
  </w:footnote>
  <w:footnote w:type="continuationSeparator" w:id="0">
    <w:p w:rsidR="00B7762D" w:rsidRDefault="00B7762D" w:rsidP="00C5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3" w:rsidRDefault="00C57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3" w:rsidRDefault="00C57B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3" w:rsidRDefault="00C57B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046"/>
    <w:multiLevelType w:val="hybridMultilevel"/>
    <w:tmpl w:val="F76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132"/>
    <w:multiLevelType w:val="hybridMultilevel"/>
    <w:tmpl w:val="AF248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29"/>
    <w:rsid w:val="000901DC"/>
    <w:rsid w:val="00142B36"/>
    <w:rsid w:val="001C778E"/>
    <w:rsid w:val="001E108C"/>
    <w:rsid w:val="00232232"/>
    <w:rsid w:val="0034336D"/>
    <w:rsid w:val="003559A9"/>
    <w:rsid w:val="0036653B"/>
    <w:rsid w:val="00406313"/>
    <w:rsid w:val="004B549A"/>
    <w:rsid w:val="005815DD"/>
    <w:rsid w:val="006D7AFD"/>
    <w:rsid w:val="00743219"/>
    <w:rsid w:val="008044D8"/>
    <w:rsid w:val="008938CB"/>
    <w:rsid w:val="00964366"/>
    <w:rsid w:val="00983283"/>
    <w:rsid w:val="009F5CE8"/>
    <w:rsid w:val="00B7762D"/>
    <w:rsid w:val="00B86AC6"/>
    <w:rsid w:val="00BC652F"/>
    <w:rsid w:val="00C05BA5"/>
    <w:rsid w:val="00C14D52"/>
    <w:rsid w:val="00C57B73"/>
    <w:rsid w:val="00DF45C6"/>
    <w:rsid w:val="00E0682C"/>
    <w:rsid w:val="00E670BD"/>
    <w:rsid w:val="00E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3894E"/>
  <w15:docId w15:val="{1D978576-D137-46FE-B6BB-A756498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14D52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List Paragraph"/>
    <w:basedOn w:val="a"/>
    <w:uiPriority w:val="34"/>
    <w:qFormat/>
    <w:rsid w:val="00142B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7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C57B7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unhideWhenUsed/>
    <w:rsid w:val="00C57B7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57B7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Tzvetanka Tzenova</dc:creator>
  <cp:keywords/>
  <dc:description/>
  <cp:lastModifiedBy>Ирена В. Дончева</cp:lastModifiedBy>
  <cp:revision>3</cp:revision>
  <cp:lastPrinted>2019-12-06T11:44:00Z</cp:lastPrinted>
  <dcterms:created xsi:type="dcterms:W3CDTF">2019-12-06T11:45:00Z</dcterms:created>
  <dcterms:modified xsi:type="dcterms:W3CDTF">2019-12-16T09:01:00Z</dcterms:modified>
</cp:coreProperties>
</file>