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33" w:rsidRPr="00CE6133" w:rsidRDefault="00CE6133" w:rsidP="00CE6133">
      <w:pPr>
        <w:snapToGrid w:val="0"/>
        <w:spacing w:after="120" w:line="240" w:lineRule="auto"/>
        <w:jc w:val="center"/>
        <w:rPr>
          <w:rFonts w:ascii="Times New Roman" w:hAnsi="Times New Roman"/>
          <w:b/>
          <w:sz w:val="24"/>
          <w:szCs w:val="24"/>
          <w:lang w:val="bg-BG"/>
        </w:rPr>
      </w:pPr>
      <w:r w:rsidRPr="00CE6133">
        <w:rPr>
          <w:rFonts w:ascii="Times New Roman" w:hAnsi="Times New Roman"/>
          <w:b/>
          <w:sz w:val="24"/>
          <w:szCs w:val="24"/>
          <w:lang w:val="bg-BG"/>
        </w:rPr>
        <w:t xml:space="preserve">УСЛОВИЯ </w:t>
      </w:r>
    </w:p>
    <w:p w:rsidR="00CE6133" w:rsidRPr="00CE6133" w:rsidRDefault="00CE6133" w:rsidP="00CE6133">
      <w:pPr>
        <w:snapToGrid w:val="0"/>
        <w:spacing w:after="120" w:line="240" w:lineRule="auto"/>
        <w:jc w:val="center"/>
        <w:rPr>
          <w:color w:val="000000" w:themeColor="text1"/>
          <w:lang w:val="bg-BG"/>
        </w:rPr>
      </w:pPr>
      <w:r w:rsidRPr="00CE6133">
        <w:rPr>
          <w:rFonts w:ascii="Times New Roman" w:hAnsi="Times New Roman"/>
          <w:sz w:val="24"/>
          <w:szCs w:val="24"/>
          <w:lang w:val="bg-BG"/>
        </w:rPr>
        <w:t xml:space="preserve">за изпълнение на схемата за минимална помощ по </w:t>
      </w:r>
      <w:r w:rsidRPr="00CE6133">
        <w:rPr>
          <w:rFonts w:ascii="Times New Roman" w:hAnsi="Times New Roman"/>
          <w:color w:val="000000" w:themeColor="text1"/>
          <w:sz w:val="24"/>
          <w:szCs w:val="24"/>
          <w:lang w:val="bg-BG"/>
        </w:rPr>
        <w:t xml:space="preserve">Национална програма за енергийна ефективност на </w:t>
      </w:r>
      <w:proofErr w:type="spellStart"/>
      <w:r w:rsidRPr="00CE6133">
        <w:rPr>
          <w:rFonts w:ascii="Times New Roman" w:hAnsi="Times New Roman"/>
          <w:color w:val="000000" w:themeColor="text1"/>
          <w:sz w:val="24"/>
          <w:szCs w:val="24"/>
          <w:lang w:val="bg-BG"/>
        </w:rPr>
        <w:t>многофамилни</w:t>
      </w:r>
      <w:proofErr w:type="spellEnd"/>
      <w:r w:rsidRPr="00CE6133">
        <w:rPr>
          <w:rFonts w:ascii="Times New Roman" w:hAnsi="Times New Roman"/>
          <w:color w:val="000000" w:themeColor="text1"/>
          <w:sz w:val="24"/>
          <w:szCs w:val="24"/>
          <w:lang w:val="bg-BG"/>
        </w:rPr>
        <w:t xml:space="preserve"> жилищни сгради</w:t>
      </w:r>
    </w:p>
    <w:p w:rsidR="00CE6133" w:rsidRPr="00CE6133" w:rsidRDefault="00CE6133" w:rsidP="00CE6133">
      <w:pPr>
        <w:widowControl w:val="0"/>
        <w:autoSpaceDE w:val="0"/>
        <w:autoSpaceDN w:val="0"/>
        <w:adjustRightInd w:val="0"/>
        <w:snapToGrid w:val="0"/>
        <w:spacing w:after="120" w:line="240" w:lineRule="auto"/>
        <w:ind w:left="4"/>
        <w:rPr>
          <w:rFonts w:ascii="Times New Roman" w:hAnsi="Times New Roman"/>
          <w:b/>
          <w:bCs/>
          <w:sz w:val="24"/>
          <w:szCs w:val="24"/>
          <w:lang w:val="bg-BG"/>
        </w:rPr>
      </w:pPr>
    </w:p>
    <w:p w:rsidR="00CE6133" w:rsidRPr="00CE6133" w:rsidRDefault="00CE6133" w:rsidP="00CE6133">
      <w:pPr>
        <w:widowControl w:val="0"/>
        <w:autoSpaceDE w:val="0"/>
        <w:autoSpaceDN w:val="0"/>
        <w:adjustRightInd w:val="0"/>
        <w:snapToGrid w:val="0"/>
        <w:spacing w:after="120" w:line="240" w:lineRule="auto"/>
        <w:ind w:left="4"/>
        <w:rPr>
          <w:rFonts w:ascii="Times New Roman" w:hAnsi="Times New Roman"/>
          <w:b/>
          <w:bCs/>
          <w:sz w:val="24"/>
          <w:szCs w:val="24"/>
          <w:lang w:val="bg-BG"/>
        </w:rPr>
      </w:pPr>
    </w:p>
    <w:p w:rsidR="00CE6133" w:rsidRPr="00CE6133" w:rsidRDefault="00CE6133" w:rsidP="00CE6133">
      <w:pPr>
        <w:widowControl w:val="0"/>
        <w:numPr>
          <w:ilvl w:val="0"/>
          <w:numId w:val="9"/>
        </w:numPr>
        <w:autoSpaceDE w:val="0"/>
        <w:autoSpaceDN w:val="0"/>
        <w:adjustRightInd w:val="0"/>
        <w:snapToGrid w:val="0"/>
        <w:spacing w:after="120" w:line="240" w:lineRule="auto"/>
        <w:rPr>
          <w:rFonts w:ascii="Times New Roman" w:hAnsi="Times New Roman"/>
          <w:b/>
          <w:bCs/>
          <w:sz w:val="24"/>
          <w:szCs w:val="24"/>
          <w:lang w:val="bg-BG"/>
        </w:rPr>
      </w:pPr>
      <w:r w:rsidRPr="00CE6133">
        <w:rPr>
          <w:rFonts w:ascii="Times New Roman" w:hAnsi="Times New Roman"/>
          <w:b/>
          <w:bCs/>
          <w:sz w:val="24"/>
          <w:szCs w:val="24"/>
          <w:lang w:val="bg-BG"/>
        </w:rPr>
        <w:t>ВЪВЕДЕНИЕ</w:t>
      </w:r>
    </w:p>
    <w:p w:rsidR="00CE6133" w:rsidRPr="00CE6133" w:rsidRDefault="00CE6133" w:rsidP="00CE6133">
      <w:pPr>
        <w:pStyle w:val="ListParagraph"/>
        <w:snapToGrid w:val="0"/>
        <w:spacing w:after="120"/>
        <w:ind w:left="0"/>
        <w:jc w:val="both"/>
        <w:rPr>
          <w:color w:val="000000" w:themeColor="text1"/>
          <w:lang w:val="bg-BG"/>
        </w:rPr>
      </w:pPr>
      <w:r w:rsidRPr="00CE6133">
        <w:rPr>
          <w:bCs/>
          <w:lang w:val="bg-BG"/>
        </w:rPr>
        <w:t xml:space="preserve">Настоящите условия са разработени, за да определят начина, по който следва да се изпълнява схемата на </w:t>
      </w:r>
      <w:r w:rsidRPr="00CE6133">
        <w:rPr>
          <w:color w:val="000000" w:themeColor="text1"/>
          <w:lang w:val="bg-BG"/>
        </w:rPr>
        <w:t xml:space="preserve">Националната програма за енергийна ефективност на </w:t>
      </w:r>
      <w:proofErr w:type="spellStart"/>
      <w:r w:rsidRPr="00CE6133">
        <w:rPr>
          <w:color w:val="000000" w:themeColor="text1"/>
          <w:lang w:val="bg-BG"/>
        </w:rPr>
        <w:t>многофамилни</w:t>
      </w:r>
      <w:proofErr w:type="spellEnd"/>
      <w:r w:rsidRPr="00CE6133">
        <w:rPr>
          <w:color w:val="000000" w:themeColor="text1"/>
          <w:lang w:val="bg-BG"/>
        </w:rPr>
        <w:t xml:space="preserve"> жилищни сгради (Програмата) и да се указват правилата, приложими съгласно </w:t>
      </w:r>
      <w:r w:rsidRPr="00CE6133">
        <w:rPr>
          <w:bCs/>
          <w:lang w:val="bg-BG"/>
        </w:rPr>
        <w:t>условията на</w:t>
      </w:r>
      <w:r w:rsidRPr="00CE6133">
        <w:rPr>
          <w:b/>
          <w:bCs/>
          <w:lang w:val="bg-BG"/>
        </w:rPr>
        <w:t xml:space="preserve"> </w:t>
      </w:r>
      <w:r w:rsidRPr="00CE6133">
        <w:rPr>
          <w:color w:val="000000" w:themeColor="text1"/>
          <w:lang w:val="bg-BG"/>
        </w:rPr>
        <w:t xml:space="preserve">Регламент (ЕС) № 1407/2013 на Комисията от 18 декември 2013 г. относно прилагането на членове 107 и 108 от Договора за функциониране на ЕС (ДФЕС) към помощта </w:t>
      </w:r>
      <w:proofErr w:type="spellStart"/>
      <w:r w:rsidRPr="00CE6133">
        <w:rPr>
          <w:color w:val="000000" w:themeColor="text1"/>
          <w:lang w:val="bg-BG"/>
        </w:rPr>
        <w:t>de</w:t>
      </w:r>
      <w:proofErr w:type="spellEnd"/>
      <w:r w:rsidRPr="00CE6133">
        <w:rPr>
          <w:color w:val="000000" w:themeColor="text1"/>
          <w:lang w:val="bg-BG"/>
        </w:rPr>
        <w:t xml:space="preserve"> </w:t>
      </w:r>
      <w:proofErr w:type="spellStart"/>
      <w:r w:rsidRPr="00CE6133">
        <w:rPr>
          <w:color w:val="000000" w:themeColor="text1"/>
          <w:lang w:val="bg-BG"/>
        </w:rPr>
        <w:t>minimis</w:t>
      </w:r>
      <w:proofErr w:type="spellEnd"/>
      <w:r w:rsidRPr="00CE6133">
        <w:rPr>
          <w:color w:val="000000" w:themeColor="text1"/>
          <w:lang w:val="bg-BG"/>
        </w:rPr>
        <w:t xml:space="preserve"> (OB, L 352 от 24.12.2013 г.). </w:t>
      </w:r>
    </w:p>
    <w:p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Условията са приложими към получателите на безвъзмездна финансова помощ (БФП) по Програмата, а именно съответните собственици на самостоятелни обекти (ССО) в сградите, допустими за финансиране.</w:t>
      </w:r>
    </w:p>
    <w:p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 xml:space="preserve">Условията са неразделна част от Методически указания (Указанията), одобрени с </w:t>
      </w:r>
      <w:r>
        <w:rPr>
          <w:lang w:val="en"/>
        </w:rPr>
        <w:t xml:space="preserve">ПМС № 18 </w:t>
      </w:r>
      <w:proofErr w:type="spellStart"/>
      <w:r>
        <w:rPr>
          <w:lang w:val="en"/>
        </w:rPr>
        <w:t>от</w:t>
      </w:r>
      <w:proofErr w:type="spellEnd"/>
      <w:r>
        <w:rPr>
          <w:lang w:val="en"/>
        </w:rPr>
        <w:t xml:space="preserve"> 2015 г.</w:t>
      </w:r>
      <w:r w:rsidRPr="00CE6133">
        <w:rPr>
          <w:color w:val="000000" w:themeColor="text1"/>
          <w:lang w:val="bg-BG"/>
        </w:rPr>
        <w:t xml:space="preserve">, като при противоречие между указанията и условията на схемата се прилагат специалните условия на настоящата схема. </w:t>
      </w:r>
    </w:p>
    <w:p w:rsidR="00CE6133" w:rsidRPr="00CE6133" w:rsidRDefault="00CE6133" w:rsidP="00CE6133">
      <w:pPr>
        <w:widowControl w:val="0"/>
        <w:autoSpaceDE w:val="0"/>
        <w:autoSpaceDN w:val="0"/>
        <w:adjustRightInd w:val="0"/>
        <w:snapToGrid w:val="0"/>
        <w:spacing w:after="120" w:line="240" w:lineRule="auto"/>
        <w:ind w:left="424"/>
        <w:rPr>
          <w:rFonts w:ascii="Times New Roman" w:hAnsi="Times New Roman"/>
          <w:b/>
          <w:bCs/>
          <w:sz w:val="24"/>
          <w:szCs w:val="24"/>
          <w:lang w:val="bg-BG"/>
        </w:rPr>
      </w:pPr>
    </w:p>
    <w:p w:rsidR="00CE6133" w:rsidRPr="00CE6133" w:rsidRDefault="00CE6133" w:rsidP="00CE6133">
      <w:pPr>
        <w:widowControl w:val="0"/>
        <w:numPr>
          <w:ilvl w:val="0"/>
          <w:numId w:val="9"/>
        </w:numPr>
        <w:autoSpaceDE w:val="0"/>
        <w:autoSpaceDN w:val="0"/>
        <w:adjustRightInd w:val="0"/>
        <w:snapToGrid w:val="0"/>
        <w:spacing w:after="120" w:line="240" w:lineRule="auto"/>
        <w:rPr>
          <w:rFonts w:ascii="Times New Roman" w:hAnsi="Times New Roman"/>
          <w:b/>
          <w:bCs/>
          <w:sz w:val="24"/>
          <w:szCs w:val="24"/>
          <w:lang w:val="bg-BG"/>
        </w:rPr>
      </w:pPr>
      <w:r w:rsidRPr="00CE6133">
        <w:rPr>
          <w:rFonts w:ascii="Times New Roman" w:hAnsi="Times New Roman"/>
          <w:b/>
          <w:bCs/>
          <w:sz w:val="24"/>
          <w:szCs w:val="24"/>
          <w:lang w:val="bg-BG"/>
        </w:rPr>
        <w:t>ФУНКЦИИ НА ОБЩИНАТА</w:t>
      </w:r>
    </w:p>
    <w:p w:rsidR="00CE6133" w:rsidRPr="00CE6133" w:rsidRDefault="00CE6133" w:rsidP="00CE6133">
      <w:pPr>
        <w:suppressAutoHyphens/>
        <w:snapToGrid w:val="0"/>
        <w:spacing w:after="120" w:line="240" w:lineRule="auto"/>
        <w:jc w:val="both"/>
        <w:rPr>
          <w:rFonts w:ascii="Times New Roman" w:hAnsi="Times New Roman"/>
          <w:color w:val="000000" w:themeColor="text1"/>
          <w:sz w:val="24"/>
          <w:szCs w:val="24"/>
          <w:lang w:val="bg-BG"/>
        </w:rPr>
      </w:pPr>
      <w:r w:rsidRPr="00CE6133">
        <w:rPr>
          <w:rStyle w:val="Heading2Char"/>
          <w:rFonts w:ascii="Times New Roman" w:hAnsi="Times New Roman"/>
          <w:color w:val="000000" w:themeColor="text1"/>
          <w:sz w:val="24"/>
          <w:szCs w:val="24"/>
          <w:lang w:val="bg-BG"/>
        </w:rPr>
        <w:t>Съгласно указанията по Програмата, общината</w:t>
      </w:r>
      <w:r w:rsidRPr="00CE6133">
        <w:rPr>
          <w:rFonts w:ascii="Times New Roman" w:hAnsi="Times New Roman"/>
          <w:b/>
          <w:bCs/>
          <w:i/>
          <w:iCs/>
          <w:color w:val="000000" w:themeColor="text1"/>
          <w:sz w:val="24"/>
          <w:szCs w:val="24"/>
          <w:lang w:val="bg-BG"/>
        </w:rPr>
        <w:t xml:space="preserve"> </w:t>
      </w:r>
      <w:r w:rsidRPr="00CE6133">
        <w:rPr>
          <w:rFonts w:ascii="Times New Roman" w:hAnsi="Times New Roman"/>
          <w:bCs/>
          <w:iCs/>
          <w:color w:val="000000" w:themeColor="text1"/>
          <w:sz w:val="24"/>
          <w:szCs w:val="24"/>
          <w:lang w:val="bg-BG"/>
        </w:rPr>
        <w:t>отговаря за цялостното техническо и финансово администриране на Програмата на своята територия.</w:t>
      </w:r>
      <w:r w:rsidRPr="00CE6133">
        <w:rPr>
          <w:rFonts w:ascii="Times New Roman" w:hAnsi="Times New Roman"/>
          <w:color w:val="000000" w:themeColor="text1"/>
          <w:sz w:val="24"/>
          <w:szCs w:val="24"/>
          <w:lang w:val="bg-BG"/>
        </w:rPr>
        <w:t xml:space="preserve"> </w:t>
      </w:r>
    </w:p>
    <w:p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Освен описаните отговорности на общината в указанията, с оглед изпълнението на дейностите по схемата, съответната община се явява и администратор на помощ по смисъла на Закона за държавните помощи по отношение на средствата, предоставени на нейната територия на отделните получатели и имащи характер на минимална помощ.</w:t>
      </w:r>
    </w:p>
    <w:p w:rsidR="00CE6133" w:rsidRPr="00CE6133" w:rsidRDefault="00CE6133" w:rsidP="00CE6133">
      <w:pPr>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Общината следва да създаде механизъм за контрол и гарантиране изпълнението на посочените в настоящия документ условия, така че във всеки един момент да може да бъде доказано, че разходването на средствата по схемата отговарят и непротиворечат на действащото национално и европейско законодателство в областта на държавните помощи. В настоящите условия са представени минималните изисквания към механизмите за контрол, които общината следва да въведе, съобразно индивидуалните специфики на организацията на работа в същата.</w:t>
      </w:r>
    </w:p>
    <w:p w:rsidR="00CE6133" w:rsidRPr="00CE6133" w:rsidRDefault="00CE6133" w:rsidP="00CE6133">
      <w:pPr>
        <w:widowControl w:val="0"/>
        <w:autoSpaceDE w:val="0"/>
        <w:autoSpaceDN w:val="0"/>
        <w:adjustRightInd w:val="0"/>
        <w:snapToGrid w:val="0"/>
        <w:spacing w:after="120" w:line="240" w:lineRule="auto"/>
        <w:ind w:left="364"/>
        <w:rPr>
          <w:rFonts w:ascii="Times New Roman" w:hAnsi="Times New Roman"/>
          <w:b/>
          <w:bCs/>
          <w:sz w:val="24"/>
          <w:szCs w:val="24"/>
          <w:lang w:val="bg-BG"/>
        </w:rPr>
      </w:pPr>
    </w:p>
    <w:p w:rsidR="00CE6133" w:rsidRPr="00CE6133" w:rsidRDefault="00CE6133" w:rsidP="00CE6133">
      <w:pPr>
        <w:widowControl w:val="0"/>
        <w:numPr>
          <w:ilvl w:val="0"/>
          <w:numId w:val="9"/>
        </w:numPr>
        <w:autoSpaceDE w:val="0"/>
        <w:autoSpaceDN w:val="0"/>
        <w:adjustRightInd w:val="0"/>
        <w:snapToGrid w:val="0"/>
        <w:spacing w:after="120" w:line="240" w:lineRule="auto"/>
        <w:rPr>
          <w:rFonts w:ascii="Times New Roman" w:hAnsi="Times New Roman"/>
          <w:b/>
          <w:bCs/>
          <w:sz w:val="24"/>
          <w:szCs w:val="24"/>
          <w:lang w:val="bg-BG"/>
        </w:rPr>
      </w:pPr>
      <w:r w:rsidRPr="00CE6133">
        <w:rPr>
          <w:rFonts w:ascii="Times New Roman" w:hAnsi="Times New Roman"/>
          <w:b/>
          <w:bCs/>
          <w:sz w:val="24"/>
          <w:szCs w:val="24"/>
          <w:lang w:val="bg-BG"/>
        </w:rPr>
        <w:t>РЕЖИМ ЗА ПРЕДОСТАВЯНЕ НА СРЕДСТВАТА</w:t>
      </w:r>
    </w:p>
    <w:p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
          <w:sz w:val="24"/>
          <w:szCs w:val="24"/>
          <w:lang w:val="bg-BG"/>
        </w:rPr>
      </w:pPr>
      <w:r w:rsidRPr="00CE6133">
        <w:rPr>
          <w:rFonts w:ascii="Times New Roman" w:hAnsi="Times New Roman"/>
          <w:b/>
          <w:sz w:val="24"/>
          <w:szCs w:val="24"/>
          <w:lang w:val="bg-BG"/>
        </w:rPr>
        <w:t xml:space="preserve">3.1 Режим „не помощ“ – помощ извън обхвата на чл. 107, </w:t>
      </w:r>
      <w:proofErr w:type="spellStart"/>
      <w:r w:rsidRPr="00CE6133">
        <w:rPr>
          <w:rFonts w:ascii="Times New Roman" w:hAnsi="Times New Roman"/>
          <w:b/>
          <w:sz w:val="24"/>
          <w:szCs w:val="24"/>
          <w:lang w:val="bg-BG"/>
        </w:rPr>
        <w:t>пар</w:t>
      </w:r>
      <w:proofErr w:type="spellEnd"/>
      <w:r w:rsidRPr="00CE6133">
        <w:rPr>
          <w:rFonts w:ascii="Times New Roman" w:hAnsi="Times New Roman"/>
          <w:b/>
          <w:sz w:val="24"/>
          <w:szCs w:val="24"/>
          <w:lang w:val="bg-BG"/>
        </w:rPr>
        <w:t>. 1 от ДФЕС (помощ, която не е държавна помощ и не е минимална помощ)</w:t>
      </w:r>
    </w:p>
    <w:p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sz w:val="24"/>
          <w:szCs w:val="24"/>
          <w:lang w:val="bg-BG"/>
        </w:rPr>
      </w:pPr>
      <w:r w:rsidRPr="00CE6133">
        <w:rPr>
          <w:rFonts w:ascii="Times New Roman" w:hAnsi="Times New Roman"/>
          <w:sz w:val="24"/>
          <w:szCs w:val="24"/>
          <w:lang w:val="bg-BG"/>
        </w:rPr>
        <w:t xml:space="preserve">В случаите, когато ССО не използват допустимите за финансиране обекти за извършване на стопанска дейност, включително, но не само: не ги отдават под наем или в тях </w:t>
      </w:r>
      <w:r w:rsidRPr="00CE6133">
        <w:rPr>
          <w:rFonts w:ascii="Times New Roman" w:hAnsi="Times New Roman"/>
          <w:color w:val="000000" w:themeColor="text1"/>
          <w:sz w:val="24"/>
          <w:szCs w:val="24"/>
          <w:lang w:val="bg-BG"/>
        </w:rPr>
        <w:t xml:space="preserve">не се извършва дейност от търговци и/или лица със свободни професии, ССО не следва да се считат за получатели </w:t>
      </w:r>
      <w:r w:rsidRPr="00CE6133">
        <w:rPr>
          <w:rFonts w:ascii="Times New Roman" w:hAnsi="Times New Roman"/>
          <w:sz w:val="24"/>
          <w:szCs w:val="24"/>
          <w:lang w:val="bg-BG"/>
        </w:rPr>
        <w:t>на държавна и/или минимална помощ (</w:t>
      </w:r>
      <w:proofErr w:type="spellStart"/>
      <w:r w:rsidRPr="00CE6133">
        <w:rPr>
          <w:rFonts w:ascii="Times New Roman" w:hAnsi="Times New Roman"/>
          <w:sz w:val="24"/>
          <w:szCs w:val="24"/>
          <w:lang w:val="bg-BG"/>
        </w:rPr>
        <w:t>помощ</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de</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minimis</w:t>
      </w:r>
      <w:proofErr w:type="spellEnd"/>
      <w:r w:rsidRPr="00CE6133">
        <w:rPr>
          <w:rFonts w:ascii="Times New Roman" w:hAnsi="Times New Roman"/>
          <w:sz w:val="24"/>
          <w:szCs w:val="24"/>
          <w:lang w:val="bg-BG"/>
        </w:rPr>
        <w:t>”). В този случай към тях не са приложими настоящите условия.</w:t>
      </w:r>
    </w:p>
    <w:p w:rsidR="00CE6133" w:rsidRPr="00CE6133" w:rsidRDefault="00CE6133" w:rsidP="00CE6133">
      <w:pPr>
        <w:pStyle w:val="ListParagraph"/>
        <w:snapToGrid w:val="0"/>
        <w:spacing w:after="120"/>
        <w:ind w:left="0"/>
        <w:jc w:val="both"/>
        <w:rPr>
          <w:lang w:val="bg-BG"/>
        </w:rPr>
      </w:pPr>
      <w:r w:rsidRPr="00CE6133">
        <w:rPr>
          <w:color w:val="000000" w:themeColor="text1"/>
          <w:lang w:val="bg-BG"/>
        </w:rPr>
        <w:lastRenderedPageBreak/>
        <w:t>Случаите, в които община или държавна институция са собственици на самостоятелни обекти в сграда, участваща в Програмата и допустима за финансиране, които се използват единствено и само за жилищни нужди, същите не се считат за получатели на минимална помощ (</w:t>
      </w:r>
      <w:proofErr w:type="spellStart"/>
      <w:r w:rsidRPr="00CE6133">
        <w:rPr>
          <w:lang w:val="bg-BG"/>
        </w:rPr>
        <w:t>помощ</w:t>
      </w:r>
      <w:proofErr w:type="spellEnd"/>
      <w:r w:rsidRPr="00CE6133">
        <w:rPr>
          <w:lang w:val="bg-BG"/>
        </w:rPr>
        <w:t xml:space="preserve"> “</w:t>
      </w:r>
      <w:proofErr w:type="spellStart"/>
      <w:r w:rsidRPr="00CE6133">
        <w:rPr>
          <w:lang w:val="bg-BG"/>
        </w:rPr>
        <w:t>de</w:t>
      </w:r>
      <w:proofErr w:type="spellEnd"/>
      <w:r w:rsidRPr="00CE6133">
        <w:rPr>
          <w:lang w:val="bg-BG"/>
        </w:rPr>
        <w:t xml:space="preserve"> </w:t>
      </w:r>
      <w:proofErr w:type="spellStart"/>
      <w:r w:rsidRPr="00CE6133">
        <w:rPr>
          <w:lang w:val="bg-BG"/>
        </w:rPr>
        <w:t>minimis</w:t>
      </w:r>
      <w:proofErr w:type="spellEnd"/>
      <w:r w:rsidRPr="00CE6133">
        <w:rPr>
          <w:lang w:val="bg-BG"/>
        </w:rPr>
        <w:t>”) и към тях не са приложими условията по т.3.2.</w:t>
      </w:r>
    </w:p>
    <w:p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
          <w:sz w:val="24"/>
          <w:szCs w:val="24"/>
          <w:lang w:val="bg-BG"/>
        </w:rPr>
      </w:pPr>
      <w:r w:rsidRPr="00CE6133">
        <w:rPr>
          <w:rFonts w:ascii="Times New Roman" w:hAnsi="Times New Roman"/>
          <w:b/>
          <w:sz w:val="24"/>
          <w:szCs w:val="24"/>
          <w:lang w:val="bg-BG"/>
        </w:rPr>
        <w:t>3.2. Режим „минимална помощ“ (</w:t>
      </w:r>
      <w:proofErr w:type="spellStart"/>
      <w:r w:rsidRPr="00CE6133">
        <w:rPr>
          <w:rFonts w:ascii="Times New Roman" w:hAnsi="Times New Roman"/>
          <w:b/>
          <w:sz w:val="24"/>
          <w:szCs w:val="24"/>
          <w:lang w:val="bg-BG"/>
        </w:rPr>
        <w:t>помощ</w:t>
      </w:r>
      <w:proofErr w:type="spellEnd"/>
      <w:r w:rsidRPr="00CE6133">
        <w:rPr>
          <w:rFonts w:ascii="Times New Roman" w:hAnsi="Times New Roman"/>
          <w:b/>
          <w:sz w:val="24"/>
          <w:szCs w:val="24"/>
          <w:lang w:val="bg-BG"/>
        </w:rPr>
        <w:t xml:space="preserve"> „</w:t>
      </w:r>
      <w:proofErr w:type="spellStart"/>
      <w:r w:rsidRPr="00CE6133">
        <w:rPr>
          <w:rFonts w:ascii="Times New Roman" w:hAnsi="Times New Roman"/>
          <w:b/>
          <w:sz w:val="24"/>
          <w:szCs w:val="24"/>
          <w:lang w:val="bg-BG"/>
        </w:rPr>
        <w:t>de</w:t>
      </w:r>
      <w:proofErr w:type="spellEnd"/>
      <w:r w:rsidRPr="00CE6133">
        <w:rPr>
          <w:rFonts w:ascii="Times New Roman" w:hAnsi="Times New Roman"/>
          <w:b/>
          <w:sz w:val="24"/>
          <w:szCs w:val="24"/>
          <w:lang w:val="bg-BG"/>
        </w:rPr>
        <w:t xml:space="preserve"> </w:t>
      </w:r>
      <w:proofErr w:type="spellStart"/>
      <w:r w:rsidRPr="00CE6133">
        <w:rPr>
          <w:rFonts w:ascii="Times New Roman" w:hAnsi="Times New Roman"/>
          <w:b/>
          <w:sz w:val="24"/>
          <w:szCs w:val="24"/>
          <w:lang w:val="bg-BG"/>
        </w:rPr>
        <w:t>minimis</w:t>
      </w:r>
      <w:proofErr w:type="spellEnd"/>
      <w:r w:rsidRPr="00CE6133">
        <w:rPr>
          <w:rFonts w:ascii="Times New Roman" w:hAnsi="Times New Roman"/>
          <w:b/>
          <w:sz w:val="24"/>
          <w:szCs w:val="24"/>
          <w:lang w:val="bg-BG"/>
        </w:rPr>
        <w:t xml:space="preserve">”) </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За целите на Регламент </w:t>
      </w:r>
      <w:r w:rsidRPr="00CE6133">
        <w:rPr>
          <w:rFonts w:ascii="Times New Roman" w:hAnsi="Times New Roman"/>
          <w:color w:val="000000" w:themeColor="text1"/>
          <w:sz w:val="24"/>
          <w:szCs w:val="24"/>
          <w:lang w:val="bg-BG"/>
        </w:rPr>
        <w:t>(ЕС) № 1407/2013,</w:t>
      </w:r>
      <w:r w:rsidRPr="00CE6133">
        <w:rPr>
          <w:rFonts w:ascii="Times New Roman" w:hAnsi="Times New Roman"/>
          <w:sz w:val="24"/>
          <w:szCs w:val="24"/>
          <w:lang w:val="bg-BG"/>
        </w:rPr>
        <w:t xml:space="preserve"> ССО се явяват „предприятия“ по отношение на физическите и юридическите лица, които участват в тях и които извършват икономическа дейност. </w:t>
      </w:r>
    </w:p>
    <w:p w:rsidR="00CE6133" w:rsidRPr="00CE6133" w:rsidRDefault="00CE6133" w:rsidP="00CE6133">
      <w:pPr>
        <w:tabs>
          <w:tab w:val="left" w:pos="426"/>
        </w:tabs>
        <w:snapToGrid w:val="0"/>
        <w:spacing w:after="120" w:line="240" w:lineRule="auto"/>
        <w:jc w:val="both"/>
        <w:rPr>
          <w:rFonts w:ascii="Times New Roman" w:eastAsia="Times New Roman" w:hAnsi="Times New Roman"/>
          <w:sz w:val="24"/>
          <w:szCs w:val="24"/>
          <w:lang w:val="bg-BG" w:eastAsia="bg-BG"/>
        </w:rPr>
      </w:pPr>
      <w:r w:rsidRPr="00CE6133">
        <w:rPr>
          <w:rFonts w:ascii="Times New Roman" w:eastAsia="Times New Roman" w:hAnsi="Times New Roman"/>
          <w:sz w:val="24"/>
          <w:szCs w:val="24"/>
          <w:lang w:val="bg-BG"/>
        </w:rPr>
        <w:t>Общият принцип, според който Съдът на ЕС</w:t>
      </w:r>
      <w:r w:rsidRPr="00CE6133">
        <w:rPr>
          <w:rFonts w:ascii="Times New Roman" w:eastAsia="Times New Roman" w:hAnsi="Times New Roman"/>
          <w:sz w:val="24"/>
          <w:szCs w:val="24"/>
          <w:vertAlign w:val="superscript"/>
          <w:lang w:val="bg-BG"/>
        </w:rPr>
        <w:footnoteReference w:id="1"/>
      </w:r>
      <w:r w:rsidRPr="00CE6133">
        <w:rPr>
          <w:rFonts w:ascii="Times New Roman" w:eastAsia="Times New Roman" w:hAnsi="Times New Roman"/>
          <w:sz w:val="24"/>
          <w:szCs w:val="24"/>
          <w:lang w:val="bg-BG"/>
        </w:rPr>
        <w:t xml:space="preserve"> налага последователна практика да определя получателите като „предприятия”, е свързан с извършването на </w:t>
      </w:r>
      <w:r w:rsidRPr="00CE6133">
        <w:rPr>
          <w:rFonts w:ascii="Times New Roman" w:eastAsia="Times New Roman" w:hAnsi="Times New Roman"/>
          <w:i/>
          <w:sz w:val="24"/>
          <w:szCs w:val="24"/>
          <w:lang w:val="bg-BG"/>
        </w:rPr>
        <w:t>икономическа дейност</w:t>
      </w:r>
      <w:r w:rsidRPr="00CE6133">
        <w:rPr>
          <w:rFonts w:ascii="Times New Roman" w:eastAsia="Times New Roman" w:hAnsi="Times New Roman"/>
          <w:sz w:val="24"/>
          <w:szCs w:val="24"/>
          <w:lang w:val="bg-BG"/>
        </w:rPr>
        <w:t xml:space="preserve"> от тяхна страна, независимо от правната им форма, статут и начин, по който са финансирани, както и реализирането на печалба. </w:t>
      </w:r>
      <w:r w:rsidRPr="00CE6133">
        <w:rPr>
          <w:rFonts w:ascii="Times New Roman" w:eastAsia="Times New Roman" w:hAnsi="Times New Roman"/>
          <w:sz w:val="24"/>
          <w:szCs w:val="24"/>
          <w:lang w:val="bg-BG" w:eastAsia="bg-BG"/>
        </w:rPr>
        <w:t xml:space="preserve">Съдът на Европейските общности счита, че всяко лице, ангажирано с икономическа дейност, е в състояние да отговори на дефиницията за предприятие, дори и при липса на преследване на печалба. </w:t>
      </w:r>
    </w:p>
    <w:p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CE6133">
        <w:rPr>
          <w:rFonts w:ascii="Times New Roman" w:hAnsi="Times New Roman"/>
          <w:sz w:val="24"/>
          <w:szCs w:val="24"/>
          <w:lang w:val="bg-BG"/>
        </w:rPr>
        <w:t xml:space="preserve">Настоящите условия се прилагат </w:t>
      </w:r>
      <w:r w:rsidRPr="00CE6133">
        <w:rPr>
          <w:rFonts w:ascii="Times New Roman" w:hAnsi="Times New Roman"/>
          <w:bCs/>
          <w:sz w:val="24"/>
          <w:szCs w:val="24"/>
          <w:lang w:val="bg-BG"/>
        </w:rPr>
        <w:t xml:space="preserve">към </w:t>
      </w:r>
      <w:r w:rsidRPr="00CE6133">
        <w:rPr>
          <w:rFonts w:ascii="Times New Roman" w:hAnsi="Times New Roman"/>
          <w:color w:val="000000" w:themeColor="text1"/>
          <w:sz w:val="24"/>
          <w:szCs w:val="24"/>
          <w:lang w:val="bg-BG"/>
        </w:rPr>
        <w:t xml:space="preserve">ССО, </w:t>
      </w:r>
      <w:r w:rsidRPr="00CE6133">
        <w:rPr>
          <w:rFonts w:ascii="Times New Roman" w:hAnsi="Times New Roman"/>
          <w:bCs/>
          <w:sz w:val="24"/>
          <w:szCs w:val="24"/>
          <w:lang w:val="bg-BG"/>
        </w:rPr>
        <w:t xml:space="preserve">допустими по Програмата за получаване на БФП, в случаите, когато същите извършват някоя от следните дейности: </w:t>
      </w:r>
    </w:p>
    <w:p w:rsidR="00CE6133" w:rsidRPr="00CE6133" w:rsidRDefault="00CE6133" w:rsidP="00CE6133">
      <w:pPr>
        <w:widowControl w:val="0"/>
        <w:numPr>
          <w:ilvl w:val="0"/>
          <w:numId w:val="13"/>
        </w:numPr>
        <w:autoSpaceDE w:val="0"/>
        <w:autoSpaceDN w:val="0"/>
        <w:adjustRightInd w:val="0"/>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самостоятелните обекти в сградата се използват за извършване на стопанска дейност - независимо от предназначението на обекта (жилищно или стопанско), ССО упражняват стопанска/икономическа дейност в обекта си (като например: магазин, фризьорски салон и др.);</w:t>
      </w:r>
    </w:p>
    <w:p w:rsidR="00CE6133" w:rsidRPr="00CE6133" w:rsidRDefault="00CE6133" w:rsidP="00CE6133">
      <w:pPr>
        <w:widowControl w:val="0"/>
        <w:numPr>
          <w:ilvl w:val="0"/>
          <w:numId w:val="13"/>
        </w:numPr>
        <w:autoSpaceDE w:val="0"/>
        <w:autoSpaceDN w:val="0"/>
        <w:adjustRightInd w:val="0"/>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самостоятелните обекти в сградата се отдават под наем - за жилищни или нежилищни цели (офис, ателие и др.);</w:t>
      </w:r>
    </w:p>
    <w:p w:rsidR="00CE6133" w:rsidRPr="00CE6133" w:rsidRDefault="00CE6133" w:rsidP="00CE6133">
      <w:pPr>
        <w:widowControl w:val="0"/>
        <w:numPr>
          <w:ilvl w:val="0"/>
          <w:numId w:val="13"/>
        </w:numPr>
        <w:autoSpaceDE w:val="0"/>
        <w:autoSpaceDN w:val="0"/>
        <w:adjustRightInd w:val="0"/>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в самостоятелните обекти в сградата се извършва дейност от търговци и/или лица със свободни професии;</w:t>
      </w:r>
    </w:p>
    <w:p w:rsidR="00CE6133" w:rsidRPr="00CE6133" w:rsidRDefault="00CE6133" w:rsidP="00CE6133">
      <w:pPr>
        <w:widowControl w:val="0"/>
        <w:numPr>
          <w:ilvl w:val="0"/>
          <w:numId w:val="13"/>
        </w:numPr>
        <w:autoSpaceDE w:val="0"/>
        <w:autoSpaceDN w:val="0"/>
        <w:adjustRightInd w:val="0"/>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други стопански дейности.</w:t>
      </w:r>
    </w:p>
    <w:p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color w:val="000000" w:themeColor="text1"/>
          <w:sz w:val="24"/>
          <w:szCs w:val="24"/>
          <w:lang w:val="bg-BG"/>
        </w:rPr>
      </w:pPr>
      <w:r w:rsidRPr="00CE6133">
        <w:rPr>
          <w:rFonts w:ascii="Times New Roman" w:hAnsi="Times New Roman"/>
          <w:sz w:val="24"/>
          <w:szCs w:val="24"/>
          <w:lang w:val="bg-BG"/>
        </w:rPr>
        <w:t xml:space="preserve">В тези случаи, ССО се считат за получатели на минимална помощ и към тях следва да се прилагат условията на </w:t>
      </w:r>
      <w:r w:rsidRPr="00CE6133">
        <w:rPr>
          <w:rFonts w:ascii="Times New Roman" w:hAnsi="Times New Roman"/>
          <w:color w:val="000000" w:themeColor="text1"/>
          <w:sz w:val="24"/>
          <w:szCs w:val="24"/>
          <w:lang w:val="bg-BG"/>
        </w:rPr>
        <w:t xml:space="preserve">Регламент (ЕС) № 1407/2013. </w:t>
      </w:r>
    </w:p>
    <w:p w:rsidR="00CE6133" w:rsidRPr="00CE6133" w:rsidRDefault="00CE6133" w:rsidP="00CE6133">
      <w:pPr>
        <w:pStyle w:val="ListParagraph"/>
        <w:snapToGrid w:val="0"/>
        <w:spacing w:after="120"/>
        <w:ind w:left="0"/>
        <w:jc w:val="both"/>
        <w:rPr>
          <w:lang w:val="bg-BG"/>
        </w:rPr>
      </w:pPr>
      <w:r w:rsidRPr="00CE6133">
        <w:rPr>
          <w:lang w:val="bg-BG"/>
        </w:rPr>
        <w:t>Случаите, в които юридически лица-търговци са собственици на самостоятелни обекти в сграда, участваща в Програмата и допустима за финансиране, същите се считат за получатели на минимална помощ (</w:t>
      </w:r>
      <w:proofErr w:type="spellStart"/>
      <w:r w:rsidRPr="00CE6133">
        <w:rPr>
          <w:lang w:val="bg-BG"/>
        </w:rPr>
        <w:t>помощ</w:t>
      </w:r>
      <w:proofErr w:type="spellEnd"/>
      <w:r w:rsidRPr="00CE6133">
        <w:rPr>
          <w:lang w:val="bg-BG"/>
        </w:rPr>
        <w:t xml:space="preserve"> “</w:t>
      </w:r>
      <w:proofErr w:type="spellStart"/>
      <w:r w:rsidRPr="00CE6133">
        <w:rPr>
          <w:lang w:val="bg-BG"/>
        </w:rPr>
        <w:t>de</w:t>
      </w:r>
      <w:proofErr w:type="spellEnd"/>
      <w:r w:rsidRPr="00CE6133">
        <w:rPr>
          <w:lang w:val="bg-BG"/>
        </w:rPr>
        <w:t xml:space="preserve"> </w:t>
      </w:r>
      <w:proofErr w:type="spellStart"/>
      <w:r w:rsidRPr="00CE6133">
        <w:rPr>
          <w:lang w:val="bg-BG"/>
        </w:rPr>
        <w:t>minimis</w:t>
      </w:r>
      <w:proofErr w:type="spellEnd"/>
      <w:r w:rsidRPr="00CE6133">
        <w:rPr>
          <w:lang w:val="bg-BG"/>
        </w:rPr>
        <w:t>”) и към тях са приложими настоящите условия. Когато самостоятелният обект в сграда е под контрола на община или държавна институция, посредством общинско/държавно предприятие или търговско дружество, последните се считат за получатели на минимална помощ.</w:t>
      </w:r>
    </w:p>
    <w:p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
          <w:sz w:val="24"/>
          <w:szCs w:val="24"/>
          <w:lang w:val="bg-BG"/>
        </w:rPr>
      </w:pPr>
      <w:r w:rsidRPr="00CE6133">
        <w:rPr>
          <w:rFonts w:ascii="Times New Roman" w:hAnsi="Times New Roman"/>
          <w:b/>
          <w:sz w:val="24"/>
          <w:szCs w:val="24"/>
          <w:lang w:val="bg-BG"/>
        </w:rPr>
        <w:t>3.2.1. Компоненти в режим „минимална помощ“</w:t>
      </w:r>
    </w:p>
    <w:p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sz w:val="24"/>
          <w:szCs w:val="24"/>
          <w:lang w:val="bg-BG"/>
        </w:rPr>
      </w:pPr>
      <w:r w:rsidRPr="00CE6133">
        <w:rPr>
          <w:rFonts w:ascii="Times New Roman" w:hAnsi="Times New Roman"/>
          <w:sz w:val="24"/>
          <w:szCs w:val="24"/>
          <w:lang w:val="bg-BG"/>
        </w:rPr>
        <w:t xml:space="preserve">В зависимост от изискванията на Регламент </w:t>
      </w:r>
      <w:r w:rsidRPr="00CE6133">
        <w:rPr>
          <w:rFonts w:ascii="Times New Roman" w:hAnsi="Times New Roman"/>
          <w:color w:val="000000" w:themeColor="text1"/>
          <w:sz w:val="24"/>
          <w:szCs w:val="24"/>
          <w:lang w:val="bg-BG"/>
        </w:rPr>
        <w:t>(ЕС) № 1407/2013, в схемата се обособяват два компонента при</w:t>
      </w:r>
      <w:r w:rsidRPr="00CE6133">
        <w:rPr>
          <w:rFonts w:ascii="Times New Roman" w:hAnsi="Times New Roman"/>
          <w:sz w:val="24"/>
          <w:szCs w:val="24"/>
          <w:lang w:val="bg-BG"/>
        </w:rPr>
        <w:t xml:space="preserve"> предоставяне на средствата</w:t>
      </w:r>
      <w:r w:rsidRPr="00CE6133">
        <w:rPr>
          <w:rFonts w:ascii="Times New Roman" w:hAnsi="Times New Roman"/>
          <w:color w:val="000000" w:themeColor="text1"/>
          <w:sz w:val="24"/>
          <w:szCs w:val="24"/>
          <w:lang w:val="bg-BG"/>
        </w:rPr>
        <w:t xml:space="preserve"> и приложими към ССО</w:t>
      </w:r>
      <w:r w:rsidRPr="00CE6133">
        <w:rPr>
          <w:rFonts w:ascii="Times New Roman" w:hAnsi="Times New Roman"/>
          <w:sz w:val="24"/>
          <w:szCs w:val="24"/>
          <w:lang w:val="bg-BG"/>
        </w:rPr>
        <w:t>:</w:t>
      </w:r>
    </w:p>
    <w:p w:rsidR="00CE6133" w:rsidRPr="00CE6133" w:rsidRDefault="00CE6133" w:rsidP="00CE6133">
      <w:pPr>
        <w:widowControl w:val="0"/>
        <w:numPr>
          <w:ilvl w:val="0"/>
          <w:numId w:val="1"/>
        </w:numPr>
        <w:tabs>
          <w:tab w:val="clear" w:pos="720"/>
        </w:tabs>
        <w:overflowPunct w:val="0"/>
        <w:autoSpaceDE w:val="0"/>
        <w:autoSpaceDN w:val="0"/>
        <w:adjustRightInd w:val="0"/>
        <w:snapToGrid w:val="0"/>
        <w:spacing w:after="120" w:line="240" w:lineRule="auto"/>
        <w:ind w:left="709" w:hanging="304"/>
        <w:jc w:val="both"/>
        <w:rPr>
          <w:rFonts w:ascii="Times New Roman" w:hAnsi="Times New Roman"/>
          <w:bCs/>
          <w:sz w:val="24"/>
          <w:szCs w:val="24"/>
          <w:lang w:val="bg-BG"/>
        </w:rPr>
      </w:pPr>
      <w:r w:rsidRPr="00CE6133">
        <w:rPr>
          <w:rFonts w:ascii="Times New Roman" w:hAnsi="Times New Roman"/>
          <w:b/>
          <w:bCs/>
          <w:sz w:val="24"/>
          <w:szCs w:val="24"/>
          <w:lang w:val="bg-BG"/>
        </w:rPr>
        <w:t>Компонент I – ССО, попадащи в обхвата на режим „</w:t>
      </w:r>
      <w:proofErr w:type="spellStart"/>
      <w:r w:rsidRPr="00CE6133">
        <w:rPr>
          <w:rFonts w:ascii="Times New Roman" w:hAnsi="Times New Roman"/>
          <w:b/>
          <w:bCs/>
          <w:sz w:val="24"/>
          <w:szCs w:val="24"/>
          <w:lang w:val="bg-BG"/>
        </w:rPr>
        <w:t>de</w:t>
      </w:r>
      <w:proofErr w:type="spellEnd"/>
      <w:r w:rsidRPr="00CE6133">
        <w:rPr>
          <w:rFonts w:ascii="Times New Roman" w:hAnsi="Times New Roman"/>
          <w:b/>
          <w:bCs/>
          <w:sz w:val="24"/>
          <w:szCs w:val="24"/>
          <w:lang w:val="bg-BG"/>
        </w:rPr>
        <w:t xml:space="preserve"> </w:t>
      </w:r>
      <w:proofErr w:type="spellStart"/>
      <w:r w:rsidRPr="00CE6133">
        <w:rPr>
          <w:rFonts w:ascii="Times New Roman" w:hAnsi="Times New Roman"/>
          <w:b/>
          <w:bCs/>
          <w:sz w:val="24"/>
          <w:szCs w:val="24"/>
          <w:lang w:val="bg-BG"/>
        </w:rPr>
        <w:t>minimis</w:t>
      </w:r>
      <w:proofErr w:type="spellEnd"/>
      <w:r w:rsidRPr="00CE6133">
        <w:rPr>
          <w:rFonts w:ascii="Times New Roman" w:hAnsi="Times New Roman"/>
          <w:b/>
          <w:bCs/>
          <w:sz w:val="24"/>
          <w:szCs w:val="24"/>
          <w:lang w:val="bg-BG"/>
        </w:rPr>
        <w:t xml:space="preserve">” </w:t>
      </w:r>
      <w:r w:rsidRPr="00CE6133">
        <w:rPr>
          <w:rFonts w:ascii="Times New Roman" w:hAnsi="Times New Roman"/>
          <w:bCs/>
          <w:sz w:val="24"/>
          <w:szCs w:val="24"/>
          <w:lang w:val="bg-BG"/>
        </w:rPr>
        <w:t xml:space="preserve">– всички ССО, които отговарят на някое от условията, изброени в т. 3.2 и изпълняващи изискванията на </w:t>
      </w:r>
      <w:r w:rsidRPr="00CE6133">
        <w:rPr>
          <w:rFonts w:ascii="Times New Roman" w:hAnsi="Times New Roman"/>
          <w:color w:val="000000" w:themeColor="text1"/>
          <w:sz w:val="24"/>
          <w:szCs w:val="24"/>
          <w:lang w:val="bg-BG"/>
        </w:rPr>
        <w:t>Регламент (ЕС) № 1407/2013.</w:t>
      </w:r>
    </w:p>
    <w:p w:rsidR="00CE6133" w:rsidRPr="00CE6133" w:rsidRDefault="00CE6133" w:rsidP="00CE6133">
      <w:pPr>
        <w:pStyle w:val="ListParagraph"/>
        <w:numPr>
          <w:ilvl w:val="0"/>
          <w:numId w:val="1"/>
        </w:numPr>
        <w:snapToGrid w:val="0"/>
        <w:spacing w:after="120"/>
        <w:jc w:val="both"/>
        <w:rPr>
          <w:rFonts w:eastAsiaTheme="minorHAnsi"/>
          <w:b/>
          <w:bCs/>
          <w:lang w:val="bg-BG" w:eastAsia="en-US"/>
        </w:rPr>
      </w:pPr>
      <w:r w:rsidRPr="00CE6133">
        <w:rPr>
          <w:rFonts w:eastAsiaTheme="minorHAnsi"/>
          <w:b/>
          <w:bCs/>
          <w:lang w:val="bg-BG" w:eastAsia="en-US"/>
        </w:rPr>
        <w:t>Компонент II – ССО, попадащи извън обхвата на режим “</w:t>
      </w:r>
      <w:proofErr w:type="spellStart"/>
      <w:r w:rsidRPr="00CE6133">
        <w:rPr>
          <w:rFonts w:eastAsiaTheme="minorHAnsi"/>
          <w:b/>
          <w:bCs/>
          <w:lang w:val="bg-BG" w:eastAsia="en-US"/>
        </w:rPr>
        <w:t>de</w:t>
      </w:r>
      <w:proofErr w:type="spellEnd"/>
      <w:r w:rsidRPr="00CE6133">
        <w:rPr>
          <w:rFonts w:eastAsiaTheme="minorHAnsi"/>
          <w:b/>
          <w:bCs/>
          <w:lang w:val="bg-BG" w:eastAsia="en-US"/>
        </w:rPr>
        <w:t xml:space="preserve"> </w:t>
      </w:r>
      <w:proofErr w:type="spellStart"/>
      <w:r w:rsidRPr="00CE6133">
        <w:rPr>
          <w:rFonts w:eastAsiaTheme="minorHAnsi"/>
          <w:b/>
          <w:bCs/>
          <w:lang w:val="bg-BG" w:eastAsia="en-US"/>
        </w:rPr>
        <w:t>minimis</w:t>
      </w:r>
      <w:proofErr w:type="spellEnd"/>
      <w:r w:rsidRPr="00CE6133">
        <w:rPr>
          <w:rFonts w:eastAsiaTheme="minorHAnsi"/>
          <w:b/>
          <w:bCs/>
          <w:lang w:val="bg-BG" w:eastAsia="en-US"/>
        </w:rPr>
        <w:t xml:space="preserve">” </w:t>
      </w:r>
      <w:r w:rsidRPr="00CE6133">
        <w:rPr>
          <w:rFonts w:eastAsiaTheme="minorHAnsi"/>
          <w:bCs/>
          <w:lang w:val="bg-BG" w:eastAsia="en-US"/>
        </w:rPr>
        <w:t xml:space="preserve">– </w:t>
      </w:r>
      <w:r w:rsidRPr="00CE6133">
        <w:rPr>
          <w:bCs/>
          <w:lang w:val="bg-BG"/>
        </w:rPr>
        <w:t xml:space="preserve">всички ССО, които отговарят на някое от условията, изброени в т. 3.2, но не изпълняващи изискванията на </w:t>
      </w:r>
      <w:r w:rsidRPr="00CE6133">
        <w:rPr>
          <w:color w:val="000000" w:themeColor="text1"/>
          <w:lang w:val="bg-BG"/>
        </w:rPr>
        <w:t xml:space="preserve">Регламент (ЕС) № 1407/2013. </w:t>
      </w:r>
    </w:p>
    <w:p w:rsidR="00CE6133" w:rsidRPr="00CE6133" w:rsidRDefault="00CE6133" w:rsidP="00CE6133">
      <w:pPr>
        <w:snapToGrid w:val="0"/>
        <w:spacing w:after="120" w:line="240" w:lineRule="auto"/>
        <w:jc w:val="both"/>
        <w:rPr>
          <w:rFonts w:ascii="Times New Roman" w:hAnsi="Times New Roman"/>
          <w:sz w:val="24"/>
          <w:szCs w:val="24"/>
          <w:lang w:val="bg-BG"/>
        </w:rPr>
      </w:pPr>
      <w:r w:rsidRPr="00CE6133">
        <w:rPr>
          <w:rFonts w:ascii="Times New Roman" w:hAnsi="Times New Roman"/>
          <w:sz w:val="24"/>
          <w:szCs w:val="24"/>
          <w:lang w:val="bg-BG"/>
        </w:rPr>
        <w:lastRenderedPageBreak/>
        <w:t xml:space="preserve">Получателите на БФП, в зависимост от това в кой от двата компонента попадат, следва да спазват условията на съответния компонент. </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p>
    <w:p w:rsidR="00CE6133" w:rsidRPr="00CE6133" w:rsidRDefault="00CE6133" w:rsidP="00CE6133">
      <w:pPr>
        <w:widowControl w:val="0"/>
        <w:numPr>
          <w:ilvl w:val="0"/>
          <w:numId w:val="9"/>
        </w:numPr>
        <w:autoSpaceDE w:val="0"/>
        <w:autoSpaceDN w:val="0"/>
        <w:adjustRightInd w:val="0"/>
        <w:snapToGrid w:val="0"/>
        <w:spacing w:after="120" w:line="240" w:lineRule="auto"/>
        <w:rPr>
          <w:rFonts w:ascii="Times New Roman" w:hAnsi="Times New Roman"/>
          <w:b/>
          <w:bCs/>
          <w:sz w:val="24"/>
          <w:szCs w:val="24"/>
          <w:lang w:val="bg-BG"/>
        </w:rPr>
      </w:pPr>
      <w:r w:rsidRPr="00CE6133">
        <w:rPr>
          <w:rFonts w:ascii="Times New Roman" w:hAnsi="Times New Roman"/>
          <w:b/>
          <w:bCs/>
          <w:sz w:val="24"/>
          <w:szCs w:val="24"/>
          <w:lang w:val="bg-BG"/>
        </w:rPr>
        <w:t xml:space="preserve"> ПРИЛОЖЕНИЕ НА КОМПОНЕНТ I</w:t>
      </w:r>
    </w:p>
    <w:p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CE6133">
        <w:rPr>
          <w:rFonts w:ascii="Times New Roman" w:hAnsi="Times New Roman"/>
          <w:bCs/>
          <w:sz w:val="24"/>
          <w:szCs w:val="24"/>
          <w:lang w:val="bg-BG"/>
        </w:rPr>
        <w:t xml:space="preserve">Съгласно описаните в т. 3.2.1 компоненти, следва да се има предвид, че Компонент I се прилага към всички </w:t>
      </w:r>
      <w:r w:rsidRPr="00CE6133">
        <w:rPr>
          <w:rFonts w:ascii="Times New Roman" w:hAnsi="Times New Roman"/>
          <w:color w:val="000000" w:themeColor="text1"/>
          <w:sz w:val="24"/>
          <w:szCs w:val="24"/>
          <w:lang w:val="bg-BG"/>
        </w:rPr>
        <w:t xml:space="preserve">ССО, </w:t>
      </w:r>
      <w:r w:rsidRPr="00CE6133">
        <w:rPr>
          <w:rFonts w:ascii="Times New Roman" w:hAnsi="Times New Roman"/>
          <w:bCs/>
          <w:sz w:val="24"/>
          <w:szCs w:val="24"/>
          <w:lang w:val="bg-BG"/>
        </w:rPr>
        <w:t xml:space="preserve">допустими по Програмата за получаване на БФП, които отговарят на някое от условията в т. 3.2 и изпълняват изискванията на </w:t>
      </w:r>
      <w:r w:rsidRPr="00CE6133">
        <w:rPr>
          <w:rFonts w:ascii="Times New Roman" w:hAnsi="Times New Roman"/>
          <w:color w:val="000000" w:themeColor="text1"/>
          <w:sz w:val="24"/>
          <w:szCs w:val="24"/>
          <w:lang w:val="bg-BG"/>
        </w:rPr>
        <w:t xml:space="preserve">Регламент (ЕС) № 1407/2013. </w:t>
      </w:r>
    </w:p>
    <w:p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 xml:space="preserve"> Критерии за недопустимост съгласно Регламент (ЕС) № 1407/2013</w:t>
      </w:r>
    </w:p>
    <w:p w:rsidR="00CE6133" w:rsidRPr="00CE6133" w:rsidRDefault="00CE6133" w:rsidP="00CE6133">
      <w:pPr>
        <w:widowControl w:val="0"/>
        <w:overflowPunct w:val="0"/>
        <w:autoSpaceDE w:val="0"/>
        <w:autoSpaceDN w:val="0"/>
        <w:adjustRightInd w:val="0"/>
        <w:snapToGrid w:val="0"/>
        <w:spacing w:after="120" w:line="240" w:lineRule="auto"/>
        <w:ind w:left="4"/>
        <w:jc w:val="both"/>
        <w:rPr>
          <w:rFonts w:ascii="Times New Roman" w:hAnsi="Times New Roman"/>
          <w:sz w:val="24"/>
          <w:szCs w:val="24"/>
          <w:lang w:val="bg-BG"/>
        </w:rPr>
      </w:pPr>
      <w:r w:rsidRPr="00CE6133">
        <w:rPr>
          <w:rFonts w:ascii="Times New Roman" w:hAnsi="Times New Roman"/>
          <w:sz w:val="24"/>
          <w:szCs w:val="24"/>
          <w:lang w:val="bg-BG"/>
        </w:rPr>
        <w:t xml:space="preserve">Основно изискване към потенциалните получатели (ССО) е, че същите </w:t>
      </w:r>
      <w:r w:rsidRPr="00CE6133">
        <w:rPr>
          <w:rFonts w:ascii="Times New Roman" w:hAnsi="Times New Roman"/>
          <w:b/>
          <w:sz w:val="24"/>
          <w:szCs w:val="24"/>
          <w:lang w:val="bg-BG"/>
        </w:rPr>
        <w:t>не могат да получат БФП</w:t>
      </w:r>
      <w:r w:rsidRPr="00CE6133">
        <w:rPr>
          <w:rFonts w:ascii="Times New Roman" w:hAnsi="Times New Roman"/>
          <w:sz w:val="24"/>
          <w:szCs w:val="24"/>
          <w:lang w:val="bg-BG"/>
        </w:rPr>
        <w:t xml:space="preserve">, в случай че попадат в забранителното поле на Регламент </w:t>
      </w:r>
      <w:r w:rsidRPr="00CE6133">
        <w:rPr>
          <w:rFonts w:ascii="Times New Roman" w:hAnsi="Times New Roman"/>
          <w:color w:val="000000" w:themeColor="text1"/>
          <w:sz w:val="24"/>
          <w:szCs w:val="24"/>
          <w:lang w:val="bg-BG"/>
        </w:rPr>
        <w:t>(ЕС) № 1407/2013</w:t>
      </w:r>
      <w:r w:rsidRPr="00CE6133">
        <w:rPr>
          <w:rFonts w:ascii="Times New Roman" w:hAnsi="Times New Roman"/>
          <w:sz w:val="24"/>
          <w:szCs w:val="24"/>
          <w:lang w:val="bg-BG"/>
        </w:rPr>
        <w:t xml:space="preserve"> и конкретно тяхната основна дейност или помощта, за която</w:t>
      </w:r>
      <w:r w:rsidRPr="00CE6133">
        <w:rPr>
          <w:rFonts w:ascii="Times New Roman" w:hAnsi="Times New Roman"/>
          <w:b/>
          <w:bCs/>
          <w:sz w:val="24"/>
          <w:szCs w:val="24"/>
          <w:lang w:val="bg-BG"/>
        </w:rPr>
        <w:t xml:space="preserve"> </w:t>
      </w:r>
      <w:r w:rsidRPr="00CE6133">
        <w:rPr>
          <w:rFonts w:ascii="Times New Roman" w:hAnsi="Times New Roman"/>
          <w:sz w:val="24"/>
          <w:szCs w:val="24"/>
          <w:lang w:val="bg-BG"/>
        </w:rPr>
        <w:t>кандидатстват за финансиране се отнася до (може да се свърже с):</w:t>
      </w:r>
    </w:p>
    <w:p w:rsidR="00CE6133" w:rsidRPr="00CE6133" w:rsidRDefault="00CE6133" w:rsidP="00CE6133">
      <w:pPr>
        <w:widowControl w:val="0"/>
        <w:overflowPunct w:val="0"/>
        <w:autoSpaceDE w:val="0"/>
        <w:autoSpaceDN w:val="0"/>
        <w:adjustRightInd w:val="0"/>
        <w:snapToGrid w:val="0"/>
        <w:spacing w:after="120" w:line="240" w:lineRule="auto"/>
        <w:ind w:left="851" w:hanging="425"/>
        <w:jc w:val="both"/>
        <w:rPr>
          <w:rFonts w:ascii="Times New Roman" w:hAnsi="Times New Roman"/>
          <w:sz w:val="24"/>
          <w:szCs w:val="24"/>
          <w:lang w:val="bg-BG"/>
        </w:rPr>
      </w:pPr>
      <w:r w:rsidRPr="00CE6133">
        <w:rPr>
          <w:rFonts w:ascii="Times New Roman" w:hAnsi="Times New Roman"/>
          <w:sz w:val="24"/>
          <w:szCs w:val="24"/>
          <w:lang w:val="bg-BG"/>
        </w:rPr>
        <w:t xml:space="preserve">а) </w:t>
      </w:r>
      <w:r w:rsidRPr="00CE6133">
        <w:rPr>
          <w:rFonts w:ascii="Times New Roman" w:hAnsi="Times New Roman"/>
          <w:sz w:val="24"/>
          <w:szCs w:val="24"/>
          <w:lang w:val="bg-BG"/>
        </w:rPr>
        <w:tab/>
        <w:t xml:space="preserve">помощи, предоставяни в сектора на рибарството и </w:t>
      </w:r>
      <w:proofErr w:type="spellStart"/>
      <w:r w:rsidRPr="00CE6133">
        <w:rPr>
          <w:rFonts w:ascii="Times New Roman" w:hAnsi="Times New Roman"/>
          <w:sz w:val="24"/>
          <w:szCs w:val="24"/>
          <w:lang w:val="bg-BG"/>
        </w:rPr>
        <w:t>аквакултурите</w:t>
      </w:r>
      <w:proofErr w:type="spellEnd"/>
      <w:r w:rsidRPr="00CE6133">
        <w:rPr>
          <w:rFonts w:ascii="Times New Roman" w:hAnsi="Times New Roman"/>
          <w:sz w:val="24"/>
          <w:szCs w:val="24"/>
          <w:lang w:val="bg-BG"/>
        </w:rPr>
        <w:t>, обхванати от Регламент (ЕО) № 104/2000 на Съвета</w:t>
      </w:r>
      <w:r w:rsidRPr="00CE6133">
        <w:rPr>
          <w:rStyle w:val="FootnoteReference"/>
          <w:sz w:val="24"/>
          <w:szCs w:val="24"/>
          <w:lang w:val="bg-BG"/>
        </w:rPr>
        <w:footnoteReference w:id="2"/>
      </w:r>
      <w:r w:rsidRPr="00CE6133">
        <w:rPr>
          <w:rFonts w:ascii="Times New Roman" w:hAnsi="Times New Roman"/>
          <w:sz w:val="24"/>
          <w:szCs w:val="24"/>
          <w:lang w:val="bg-BG"/>
        </w:rPr>
        <w:t>;</w:t>
      </w:r>
    </w:p>
    <w:p w:rsidR="00CE6133" w:rsidRPr="00CE6133" w:rsidRDefault="00CE6133" w:rsidP="00CE6133">
      <w:pPr>
        <w:widowControl w:val="0"/>
        <w:overflowPunct w:val="0"/>
        <w:autoSpaceDE w:val="0"/>
        <w:autoSpaceDN w:val="0"/>
        <w:adjustRightInd w:val="0"/>
        <w:snapToGrid w:val="0"/>
        <w:spacing w:after="120" w:line="240" w:lineRule="auto"/>
        <w:ind w:left="851" w:hanging="425"/>
        <w:jc w:val="both"/>
        <w:rPr>
          <w:rFonts w:ascii="Times New Roman" w:hAnsi="Times New Roman"/>
          <w:sz w:val="24"/>
          <w:szCs w:val="24"/>
          <w:lang w:val="bg-BG"/>
        </w:rPr>
      </w:pPr>
      <w:r w:rsidRPr="00CE6133">
        <w:rPr>
          <w:rFonts w:ascii="Times New Roman" w:hAnsi="Times New Roman"/>
          <w:sz w:val="24"/>
          <w:szCs w:val="24"/>
          <w:lang w:val="bg-BG"/>
        </w:rPr>
        <w:t xml:space="preserve">б) </w:t>
      </w:r>
      <w:r w:rsidRPr="00CE6133">
        <w:rPr>
          <w:rFonts w:ascii="Times New Roman" w:hAnsi="Times New Roman"/>
          <w:sz w:val="24"/>
          <w:szCs w:val="24"/>
          <w:lang w:val="bg-BG"/>
        </w:rPr>
        <w:tab/>
        <w:t>помощи, предоставяни на предприятия, които извършват дейност в областта на първичното производство на селскостопански продукти;</w:t>
      </w:r>
    </w:p>
    <w:p w:rsidR="00CE6133" w:rsidRPr="00CE6133" w:rsidRDefault="00CE6133" w:rsidP="00CE6133">
      <w:pPr>
        <w:widowControl w:val="0"/>
        <w:overflowPunct w:val="0"/>
        <w:autoSpaceDE w:val="0"/>
        <w:autoSpaceDN w:val="0"/>
        <w:adjustRightInd w:val="0"/>
        <w:snapToGrid w:val="0"/>
        <w:spacing w:after="120" w:line="240" w:lineRule="auto"/>
        <w:ind w:left="851" w:hanging="425"/>
        <w:jc w:val="both"/>
        <w:rPr>
          <w:rFonts w:ascii="Times New Roman" w:hAnsi="Times New Roman"/>
          <w:sz w:val="24"/>
          <w:szCs w:val="24"/>
          <w:lang w:val="bg-BG"/>
        </w:rPr>
      </w:pPr>
      <w:r w:rsidRPr="00CE6133">
        <w:rPr>
          <w:rFonts w:ascii="Times New Roman" w:hAnsi="Times New Roman"/>
          <w:sz w:val="24"/>
          <w:szCs w:val="24"/>
          <w:lang w:val="bg-BG"/>
        </w:rPr>
        <w:t xml:space="preserve">в) </w:t>
      </w:r>
      <w:r w:rsidRPr="00CE6133">
        <w:rPr>
          <w:rFonts w:ascii="Times New Roman" w:hAnsi="Times New Roman"/>
          <w:sz w:val="24"/>
          <w:szCs w:val="24"/>
          <w:lang w:val="bg-BG"/>
        </w:rPr>
        <w:tab/>
        <w:t xml:space="preserve">помощите, предоставяни на предприятия, които извършват дейности в сектора на преработката и търговията със селскостопански продукти: </w:t>
      </w:r>
    </w:p>
    <w:p w:rsidR="00CE6133" w:rsidRPr="00CE6133" w:rsidRDefault="00CE6133" w:rsidP="00CE6133">
      <w:pPr>
        <w:widowControl w:val="0"/>
        <w:overflowPunct w:val="0"/>
        <w:autoSpaceDE w:val="0"/>
        <w:autoSpaceDN w:val="0"/>
        <w:adjustRightInd w:val="0"/>
        <w:snapToGrid w:val="0"/>
        <w:spacing w:after="120" w:line="240" w:lineRule="auto"/>
        <w:ind w:left="851" w:hanging="425"/>
        <w:jc w:val="both"/>
        <w:rPr>
          <w:rFonts w:ascii="Times New Roman" w:hAnsi="Times New Roman"/>
          <w:sz w:val="24"/>
          <w:szCs w:val="24"/>
          <w:lang w:val="bg-BG"/>
        </w:rPr>
      </w:pPr>
      <w:r w:rsidRPr="00CE6133">
        <w:rPr>
          <w:rFonts w:ascii="Times New Roman" w:hAnsi="Times New Roman"/>
          <w:sz w:val="24"/>
          <w:szCs w:val="24"/>
          <w:lang w:val="bg-BG"/>
        </w:rPr>
        <w:t xml:space="preserve">г) </w:t>
      </w:r>
      <w:r w:rsidRPr="00CE6133">
        <w:rPr>
          <w:rFonts w:ascii="Times New Roman" w:hAnsi="Times New Roman"/>
          <w:sz w:val="24"/>
          <w:szCs w:val="24"/>
          <w:lang w:val="bg-BG"/>
        </w:rPr>
        <w:tab/>
        <w:t>помощи за дейности, свързани с износ за трети държави или държави членки, по-конкретно пряко свързани с изнасяните количества, със създаването и функционирането на дистрибуторска мрежа или с други текущи разходи, свързани с износа;</w:t>
      </w:r>
    </w:p>
    <w:p w:rsidR="00CE6133" w:rsidRPr="00CE6133" w:rsidRDefault="00CE6133" w:rsidP="00CE6133">
      <w:pPr>
        <w:widowControl w:val="0"/>
        <w:overflowPunct w:val="0"/>
        <w:autoSpaceDE w:val="0"/>
        <w:autoSpaceDN w:val="0"/>
        <w:adjustRightInd w:val="0"/>
        <w:snapToGrid w:val="0"/>
        <w:spacing w:after="120" w:line="240" w:lineRule="auto"/>
        <w:ind w:left="851" w:hanging="425"/>
        <w:jc w:val="both"/>
        <w:rPr>
          <w:rFonts w:ascii="Times New Roman" w:hAnsi="Times New Roman"/>
          <w:sz w:val="24"/>
          <w:szCs w:val="24"/>
          <w:lang w:val="bg-BG"/>
        </w:rPr>
      </w:pPr>
      <w:r w:rsidRPr="00CE6133">
        <w:rPr>
          <w:rFonts w:ascii="Times New Roman" w:hAnsi="Times New Roman"/>
          <w:sz w:val="24"/>
          <w:szCs w:val="24"/>
          <w:lang w:val="bg-BG"/>
        </w:rPr>
        <w:t xml:space="preserve">д) </w:t>
      </w:r>
      <w:r w:rsidRPr="00CE6133">
        <w:rPr>
          <w:rFonts w:ascii="Times New Roman" w:hAnsi="Times New Roman"/>
          <w:sz w:val="24"/>
          <w:szCs w:val="24"/>
          <w:lang w:val="bg-BG"/>
        </w:rPr>
        <w:tab/>
        <w:t>помощи, подчинени на преференциалното използване на национални продукти спрямо вносни такива.</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Когато дадено ССО упражнява дейност в секторите, описани по-горе в букви а), б) или в), както и в един или повече от секторите или дейностите, обхванати от </w:t>
      </w:r>
      <w:r w:rsidRPr="00CE6133">
        <w:rPr>
          <w:rFonts w:ascii="Times New Roman" w:hAnsi="Times New Roman"/>
          <w:color w:val="000000" w:themeColor="text1"/>
          <w:sz w:val="24"/>
          <w:szCs w:val="24"/>
          <w:lang w:val="bg-BG"/>
        </w:rPr>
        <w:t>Регламент (ЕС) № 1407/2013</w:t>
      </w:r>
      <w:r w:rsidRPr="00CE6133">
        <w:rPr>
          <w:rFonts w:ascii="Times New Roman" w:hAnsi="Times New Roman"/>
          <w:sz w:val="24"/>
          <w:szCs w:val="24"/>
          <w:lang w:val="bg-BG"/>
        </w:rPr>
        <w:t xml:space="preserve">, Регламента се прилага спрямо помощта, предоставяна за съответните един или повече сектори или дейности, при условие че бъде гарантирано по подходящ начин и посредством подходящи средства, като например: разделение на дейностите или разграничаване на разходите, че дейностите в изключените сектори не се ползват от помощ </w:t>
      </w:r>
      <w:proofErr w:type="spellStart"/>
      <w:r w:rsidRPr="00CE6133">
        <w:rPr>
          <w:rFonts w:ascii="Times New Roman" w:hAnsi="Times New Roman"/>
          <w:sz w:val="24"/>
          <w:szCs w:val="24"/>
          <w:lang w:val="bg-BG"/>
        </w:rPr>
        <w:t>de</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minimis</w:t>
      </w:r>
      <w:proofErr w:type="spellEnd"/>
      <w:r w:rsidRPr="00CE6133">
        <w:rPr>
          <w:rFonts w:ascii="Times New Roman" w:hAnsi="Times New Roman"/>
          <w:sz w:val="24"/>
          <w:szCs w:val="24"/>
          <w:lang w:val="bg-BG"/>
        </w:rPr>
        <w:t xml:space="preserve">, предоставена съгласно Регламента. </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В случаите, когато за ССО това не може да бъде гарантирано и общината не може по подходящ начин да бъде уверена, че ССО попада извън обхвата на </w:t>
      </w:r>
      <w:r w:rsidRPr="00CE6133">
        <w:rPr>
          <w:rFonts w:ascii="Times New Roman" w:hAnsi="Times New Roman"/>
          <w:color w:val="000000" w:themeColor="text1"/>
          <w:sz w:val="24"/>
          <w:szCs w:val="24"/>
          <w:lang w:val="bg-BG"/>
        </w:rPr>
        <w:t>Регламент (ЕС) № 1407/2013,</w:t>
      </w:r>
      <w:r w:rsidRPr="00CE6133">
        <w:rPr>
          <w:rFonts w:ascii="Times New Roman" w:hAnsi="Times New Roman"/>
          <w:sz w:val="24"/>
          <w:szCs w:val="24"/>
          <w:lang w:val="bg-BG"/>
        </w:rPr>
        <w:t xml:space="preserve"> то към съответния ССО са приложими правилата на Компонент II, описани в т. 5 от настоящите условия.</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На етап кандидатстване от даден ССО, съответната община, в качеството си на администратор на минималната помощ, следва да извършва проверка на описаните в т. 4.1. обстоятелства. Същите се декларират от всяко ССО в декларацията за минимални и държавни помощи, попълнена по образец (</w:t>
      </w:r>
      <w:r w:rsidRPr="00CE6133">
        <w:rPr>
          <w:rFonts w:ascii="Times New Roman" w:hAnsi="Times New Roman"/>
          <w:bCs/>
          <w:sz w:val="24"/>
          <w:szCs w:val="24"/>
          <w:lang w:val="bg-BG"/>
        </w:rPr>
        <w:t>приложение № 2</w:t>
      </w:r>
      <w:r w:rsidRPr="00CE6133">
        <w:rPr>
          <w:rFonts w:ascii="Times New Roman" w:hAnsi="Times New Roman"/>
          <w:sz w:val="24"/>
          <w:szCs w:val="24"/>
          <w:lang w:val="bg-BG"/>
        </w:rPr>
        <w:t xml:space="preserve"> към договора между общината и сдружението на собствениците (СС) /приложение № 10/, включващо и </w:t>
      </w:r>
      <w:r w:rsidRPr="00CE6133">
        <w:rPr>
          <w:rFonts w:ascii="Times New Roman" w:hAnsi="Times New Roman"/>
          <w:sz w:val="24"/>
          <w:szCs w:val="24"/>
          <w:lang w:val="bg-BG"/>
        </w:rPr>
        <w:lastRenderedPageBreak/>
        <w:t>указания за попълване на декларацията).</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Общината може да изисква допълнителни документи по нейна преценка (например: извадка от счетоводната система, използван метод за счетоводната отчетност и т.н.), които биха й послужили да прецени допустимостта на кандидата по мярката, в случаите когато ССО попада в обхвата на понятието „предприятие“ по смисъла на Закона за счетоводството, респ. има задължение да съставя годишен финансов отчет. </w:t>
      </w:r>
    </w:p>
    <w:p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Специфични изисквания</w:t>
      </w:r>
    </w:p>
    <w:p w:rsidR="00CE6133" w:rsidRPr="00CE6133" w:rsidRDefault="00CE6133" w:rsidP="00CE6133">
      <w:pPr>
        <w:widowControl w:val="0"/>
        <w:overflowPunct w:val="0"/>
        <w:autoSpaceDE w:val="0"/>
        <w:autoSpaceDN w:val="0"/>
        <w:adjustRightInd w:val="0"/>
        <w:snapToGrid w:val="0"/>
        <w:spacing w:after="120" w:line="240" w:lineRule="auto"/>
        <w:ind w:left="4"/>
        <w:jc w:val="both"/>
        <w:rPr>
          <w:rFonts w:ascii="Times New Roman" w:hAnsi="Times New Roman"/>
          <w:sz w:val="24"/>
          <w:szCs w:val="24"/>
          <w:lang w:val="bg-BG"/>
        </w:rPr>
      </w:pPr>
      <w:r w:rsidRPr="00CE6133">
        <w:rPr>
          <w:rFonts w:ascii="Times New Roman" w:hAnsi="Times New Roman"/>
          <w:sz w:val="24"/>
          <w:szCs w:val="24"/>
          <w:lang w:val="bg-BG"/>
        </w:rPr>
        <w:t xml:space="preserve">За ССО, които са предприятия за целите на Регламент </w:t>
      </w:r>
      <w:r w:rsidRPr="00CE6133">
        <w:rPr>
          <w:rFonts w:ascii="Times New Roman" w:hAnsi="Times New Roman"/>
          <w:color w:val="000000" w:themeColor="text1"/>
          <w:sz w:val="24"/>
          <w:szCs w:val="24"/>
          <w:lang w:val="bg-BG"/>
        </w:rPr>
        <w:t>(ЕС) № 1407/2013 се прилагат изискванията на „едно и също предприятие“.</w:t>
      </w:r>
    </w:p>
    <w:p w:rsidR="00CE6133" w:rsidRPr="00CE6133" w:rsidRDefault="00CE6133" w:rsidP="00CE6133">
      <w:pPr>
        <w:widowControl w:val="0"/>
        <w:overflowPunct w:val="0"/>
        <w:autoSpaceDE w:val="0"/>
        <w:autoSpaceDN w:val="0"/>
        <w:adjustRightInd w:val="0"/>
        <w:snapToGrid w:val="0"/>
        <w:spacing w:after="120" w:line="240" w:lineRule="auto"/>
        <w:ind w:left="4"/>
        <w:jc w:val="both"/>
        <w:rPr>
          <w:rFonts w:ascii="Times New Roman" w:hAnsi="Times New Roman"/>
          <w:sz w:val="24"/>
          <w:szCs w:val="24"/>
          <w:lang w:val="bg-BG"/>
        </w:rPr>
      </w:pPr>
      <w:r w:rsidRPr="00CE6133">
        <w:rPr>
          <w:rFonts w:ascii="Times New Roman" w:hAnsi="Times New Roman"/>
          <w:sz w:val="24"/>
          <w:szCs w:val="24"/>
          <w:lang w:val="bg-BG"/>
        </w:rPr>
        <w:t xml:space="preserve">Съгласно чл. 2 от Регламент </w:t>
      </w:r>
      <w:r w:rsidRPr="00CE6133">
        <w:rPr>
          <w:rFonts w:ascii="Times New Roman" w:hAnsi="Times New Roman"/>
          <w:color w:val="000000" w:themeColor="text1"/>
          <w:sz w:val="24"/>
          <w:szCs w:val="24"/>
          <w:lang w:val="bg-BG"/>
        </w:rPr>
        <w:t xml:space="preserve">(ЕС) № 1407/2013, </w:t>
      </w:r>
      <w:r w:rsidRPr="00CE6133">
        <w:rPr>
          <w:rFonts w:ascii="Times New Roman" w:hAnsi="Times New Roman"/>
          <w:sz w:val="24"/>
          <w:szCs w:val="24"/>
          <w:lang w:val="bg-BG"/>
        </w:rPr>
        <w:t>„едно и също предприятие“ означава всички предприятия, които поддържат помежду си поне един вид от следните взаимоотношения:</w:t>
      </w:r>
    </w:p>
    <w:p w:rsidR="00CE6133" w:rsidRPr="00CE6133" w:rsidRDefault="00CE6133" w:rsidP="00CE6133">
      <w:pPr>
        <w:widowControl w:val="0"/>
        <w:overflowPunct w:val="0"/>
        <w:autoSpaceDE w:val="0"/>
        <w:autoSpaceDN w:val="0"/>
        <w:adjustRightInd w:val="0"/>
        <w:snapToGrid w:val="0"/>
        <w:spacing w:after="120" w:line="240" w:lineRule="auto"/>
        <w:ind w:left="851" w:hanging="284"/>
        <w:jc w:val="both"/>
        <w:rPr>
          <w:rFonts w:ascii="Times New Roman" w:hAnsi="Times New Roman"/>
          <w:sz w:val="24"/>
          <w:szCs w:val="24"/>
          <w:lang w:val="bg-BG"/>
        </w:rPr>
      </w:pPr>
      <w:r w:rsidRPr="00CE6133">
        <w:rPr>
          <w:rFonts w:ascii="Times New Roman" w:hAnsi="Times New Roman"/>
          <w:sz w:val="24"/>
          <w:szCs w:val="24"/>
          <w:lang w:val="bg-BG"/>
        </w:rPr>
        <w:t xml:space="preserve">а) </w:t>
      </w:r>
      <w:r w:rsidRPr="00CE6133">
        <w:rPr>
          <w:rFonts w:ascii="Times New Roman" w:hAnsi="Times New Roman"/>
          <w:sz w:val="24"/>
          <w:szCs w:val="24"/>
          <w:lang w:val="bg-BG"/>
        </w:rPr>
        <w:tab/>
        <w:t xml:space="preserve">дадено предприятие притежава мнозинството от гласовете на акционерите или </w:t>
      </w:r>
      <w:proofErr w:type="spellStart"/>
      <w:r w:rsidRPr="00CE6133">
        <w:rPr>
          <w:rFonts w:ascii="Times New Roman" w:hAnsi="Times New Roman"/>
          <w:sz w:val="24"/>
          <w:szCs w:val="24"/>
          <w:lang w:val="bg-BG"/>
        </w:rPr>
        <w:t>съдружниците</w:t>
      </w:r>
      <w:proofErr w:type="spellEnd"/>
      <w:r w:rsidRPr="00CE6133">
        <w:rPr>
          <w:rFonts w:ascii="Times New Roman" w:hAnsi="Times New Roman"/>
          <w:sz w:val="24"/>
          <w:szCs w:val="24"/>
          <w:lang w:val="bg-BG"/>
        </w:rPr>
        <w:t xml:space="preserve"> в друго предприятие;</w:t>
      </w:r>
    </w:p>
    <w:p w:rsidR="00CE6133" w:rsidRPr="00CE6133" w:rsidRDefault="00CE6133" w:rsidP="00CE6133">
      <w:pPr>
        <w:widowControl w:val="0"/>
        <w:overflowPunct w:val="0"/>
        <w:autoSpaceDE w:val="0"/>
        <w:autoSpaceDN w:val="0"/>
        <w:adjustRightInd w:val="0"/>
        <w:snapToGrid w:val="0"/>
        <w:spacing w:after="120" w:line="240" w:lineRule="auto"/>
        <w:ind w:left="851" w:hanging="284"/>
        <w:jc w:val="both"/>
        <w:rPr>
          <w:rFonts w:ascii="Times New Roman" w:hAnsi="Times New Roman"/>
          <w:sz w:val="24"/>
          <w:szCs w:val="24"/>
          <w:lang w:val="bg-BG"/>
        </w:rPr>
      </w:pPr>
      <w:r w:rsidRPr="00CE6133">
        <w:rPr>
          <w:rFonts w:ascii="Times New Roman" w:hAnsi="Times New Roman"/>
          <w:sz w:val="24"/>
          <w:szCs w:val="24"/>
          <w:lang w:val="bg-BG"/>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CE6133" w:rsidRPr="00CE6133" w:rsidRDefault="00CE6133" w:rsidP="00CE6133">
      <w:pPr>
        <w:widowControl w:val="0"/>
        <w:overflowPunct w:val="0"/>
        <w:autoSpaceDE w:val="0"/>
        <w:autoSpaceDN w:val="0"/>
        <w:adjustRightInd w:val="0"/>
        <w:snapToGrid w:val="0"/>
        <w:spacing w:after="120" w:line="240" w:lineRule="auto"/>
        <w:ind w:left="851" w:hanging="284"/>
        <w:jc w:val="both"/>
        <w:rPr>
          <w:rFonts w:ascii="Times New Roman" w:hAnsi="Times New Roman"/>
          <w:sz w:val="24"/>
          <w:szCs w:val="24"/>
          <w:lang w:val="bg-BG"/>
        </w:rPr>
      </w:pPr>
      <w:r w:rsidRPr="00CE6133">
        <w:rPr>
          <w:rFonts w:ascii="Times New Roman" w:hAnsi="Times New Roman"/>
          <w:sz w:val="24"/>
          <w:szCs w:val="24"/>
          <w:lang w:val="bg-BG"/>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CE6133" w:rsidRPr="00CE6133" w:rsidRDefault="00CE6133" w:rsidP="00CE6133">
      <w:pPr>
        <w:widowControl w:val="0"/>
        <w:overflowPunct w:val="0"/>
        <w:autoSpaceDE w:val="0"/>
        <w:autoSpaceDN w:val="0"/>
        <w:adjustRightInd w:val="0"/>
        <w:snapToGrid w:val="0"/>
        <w:spacing w:after="120" w:line="240" w:lineRule="auto"/>
        <w:ind w:left="851" w:hanging="284"/>
        <w:jc w:val="both"/>
        <w:rPr>
          <w:rFonts w:ascii="Times New Roman" w:hAnsi="Times New Roman"/>
          <w:sz w:val="24"/>
          <w:szCs w:val="24"/>
          <w:lang w:val="bg-BG"/>
        </w:rPr>
      </w:pPr>
      <w:r w:rsidRPr="00CE6133">
        <w:rPr>
          <w:rFonts w:ascii="Times New Roman" w:hAnsi="Times New Roman"/>
          <w:sz w:val="24"/>
          <w:szCs w:val="24"/>
          <w:lang w:val="bg-BG"/>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w:t>
      </w:r>
      <w:proofErr w:type="spellStart"/>
      <w:r w:rsidRPr="00CE6133">
        <w:rPr>
          <w:rFonts w:ascii="Times New Roman" w:hAnsi="Times New Roman"/>
          <w:sz w:val="24"/>
          <w:szCs w:val="24"/>
          <w:lang w:val="bg-BG"/>
        </w:rPr>
        <w:t>съдружници</w:t>
      </w:r>
      <w:proofErr w:type="spellEnd"/>
      <w:r w:rsidRPr="00CE6133">
        <w:rPr>
          <w:rFonts w:ascii="Times New Roman" w:hAnsi="Times New Roman"/>
          <w:sz w:val="24"/>
          <w:szCs w:val="24"/>
          <w:lang w:val="bg-BG"/>
        </w:rPr>
        <w:t xml:space="preserve"> в това предприятие, мнозинството от гласовете на акционерите или </w:t>
      </w:r>
      <w:proofErr w:type="spellStart"/>
      <w:r w:rsidRPr="00CE6133">
        <w:rPr>
          <w:rFonts w:ascii="Times New Roman" w:hAnsi="Times New Roman"/>
          <w:sz w:val="24"/>
          <w:szCs w:val="24"/>
          <w:lang w:val="bg-BG"/>
        </w:rPr>
        <w:t>съдружниците</w:t>
      </w:r>
      <w:proofErr w:type="spellEnd"/>
      <w:r w:rsidRPr="00CE6133">
        <w:rPr>
          <w:rFonts w:ascii="Times New Roman" w:hAnsi="Times New Roman"/>
          <w:sz w:val="24"/>
          <w:szCs w:val="24"/>
          <w:lang w:val="bg-BG"/>
        </w:rPr>
        <w:t xml:space="preserve"> в това предприятие.</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Предприятия, поддържащи едно от взаимоотношенията, посочени по-горе в букви а) — г), посредством едно или няколко други предприятия, също се разглеждат като едно и също предприятие.</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bCs/>
          <w:sz w:val="24"/>
          <w:szCs w:val="24"/>
          <w:lang w:val="bg-BG"/>
        </w:rPr>
      </w:pPr>
      <w:r w:rsidRPr="00CE6133">
        <w:rPr>
          <w:rFonts w:ascii="Times New Roman" w:hAnsi="Times New Roman"/>
          <w:sz w:val="24"/>
          <w:szCs w:val="24"/>
          <w:lang w:val="bg-BG"/>
        </w:rPr>
        <w:t xml:space="preserve">С оглед установяване на наличието на тези обстоятелства, общината следва да провери дали същите са декларирани от съответния ССО в декларацията по </w:t>
      </w:r>
      <w:r w:rsidRPr="00CE6133">
        <w:rPr>
          <w:rFonts w:ascii="Times New Roman" w:hAnsi="Times New Roman"/>
          <w:bCs/>
          <w:sz w:val="24"/>
          <w:szCs w:val="24"/>
          <w:lang w:val="bg-BG"/>
        </w:rPr>
        <w:t>приложение № 2. В случай, че дадено ССО се явява „едно и също предприятие“ по отношение на други предприятия и същите покриват някое от условията, описани в т. 4.2, то следва да се има предвид, че всички предприятия, образуващи „едно и също предприятие“, се считат за един получател на минималната помощ. В този случай, следва да се има предвид, че описаните в т. 4.</w:t>
      </w:r>
      <w:proofErr w:type="spellStart"/>
      <w:r w:rsidRPr="00CE6133">
        <w:rPr>
          <w:rFonts w:ascii="Times New Roman" w:hAnsi="Times New Roman"/>
          <w:bCs/>
          <w:sz w:val="24"/>
          <w:szCs w:val="24"/>
          <w:lang w:val="bg-BG"/>
        </w:rPr>
        <w:t>4</w:t>
      </w:r>
      <w:proofErr w:type="spellEnd"/>
      <w:r w:rsidRPr="00CE6133">
        <w:rPr>
          <w:rFonts w:ascii="Times New Roman" w:hAnsi="Times New Roman"/>
          <w:bCs/>
          <w:sz w:val="24"/>
          <w:szCs w:val="24"/>
          <w:lang w:val="bg-BG"/>
        </w:rPr>
        <w:t xml:space="preserve">. допустими максимални размери на БФП и установените прагове в </w:t>
      </w:r>
      <w:r w:rsidRPr="00CE6133">
        <w:rPr>
          <w:rFonts w:ascii="Times New Roman" w:hAnsi="Times New Roman"/>
          <w:color w:val="000000" w:themeColor="text1"/>
          <w:sz w:val="24"/>
          <w:szCs w:val="24"/>
          <w:lang w:val="bg-BG"/>
        </w:rPr>
        <w:t xml:space="preserve">Регламент (ЕС) № 1407/2013 </w:t>
      </w:r>
      <w:r w:rsidRPr="00CE6133">
        <w:rPr>
          <w:rFonts w:ascii="Times New Roman" w:hAnsi="Times New Roman"/>
          <w:bCs/>
          <w:sz w:val="24"/>
          <w:szCs w:val="24"/>
          <w:lang w:val="bg-BG"/>
        </w:rPr>
        <w:t>се прилагат към този един  получател, в който се включват всички, образуващи „едно и също предприятие“.</w:t>
      </w:r>
    </w:p>
    <w:p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 xml:space="preserve"> Допълнителни условия към ССО</w:t>
      </w:r>
    </w:p>
    <w:p w:rsidR="00CE6133" w:rsidRPr="00CE6133" w:rsidRDefault="00CE6133" w:rsidP="00CE6133">
      <w:pPr>
        <w:widowControl w:val="0"/>
        <w:overflowPunct w:val="0"/>
        <w:autoSpaceDE w:val="0"/>
        <w:autoSpaceDN w:val="0"/>
        <w:adjustRightInd w:val="0"/>
        <w:snapToGrid w:val="0"/>
        <w:spacing w:after="120" w:line="240" w:lineRule="auto"/>
        <w:ind w:left="4"/>
        <w:jc w:val="both"/>
        <w:rPr>
          <w:rFonts w:ascii="Times New Roman" w:hAnsi="Times New Roman"/>
          <w:sz w:val="24"/>
          <w:szCs w:val="24"/>
          <w:lang w:val="bg-BG"/>
        </w:rPr>
      </w:pPr>
      <w:r w:rsidRPr="00CE6133">
        <w:rPr>
          <w:rFonts w:ascii="Times New Roman" w:hAnsi="Times New Roman"/>
          <w:color w:val="000000" w:themeColor="text1"/>
          <w:sz w:val="24"/>
          <w:szCs w:val="24"/>
          <w:lang w:val="bg-BG"/>
        </w:rPr>
        <w:t xml:space="preserve">Регламент (ЕС) № 1407/2013 </w:t>
      </w:r>
      <w:r w:rsidRPr="00CE6133">
        <w:rPr>
          <w:rFonts w:ascii="Times New Roman" w:hAnsi="Times New Roman"/>
          <w:sz w:val="24"/>
          <w:szCs w:val="24"/>
          <w:lang w:val="bg-BG"/>
        </w:rPr>
        <w:t xml:space="preserve">се прилага само за помощите, при които брутният еквивалент на безвъзмездна помощ може да бъде изчислен точно и предварително, без да е необходима каквато и да било оценка на риска („прозрачна помощ“). </w:t>
      </w:r>
    </w:p>
    <w:p w:rsidR="00CE6133" w:rsidRPr="00CE6133" w:rsidRDefault="00CE6133" w:rsidP="00CE6133">
      <w:pPr>
        <w:widowControl w:val="0"/>
        <w:overflowPunct w:val="0"/>
        <w:autoSpaceDE w:val="0"/>
        <w:autoSpaceDN w:val="0"/>
        <w:adjustRightInd w:val="0"/>
        <w:snapToGrid w:val="0"/>
        <w:spacing w:after="120" w:line="240" w:lineRule="auto"/>
        <w:jc w:val="both"/>
        <w:rPr>
          <w:rFonts w:ascii="Times New Roman" w:hAnsi="Times New Roman"/>
          <w:sz w:val="24"/>
          <w:szCs w:val="24"/>
          <w:lang w:val="bg-BG"/>
        </w:rPr>
      </w:pPr>
      <w:r w:rsidRPr="00CE6133">
        <w:rPr>
          <w:rFonts w:ascii="Times New Roman" w:hAnsi="Times New Roman"/>
          <w:sz w:val="24"/>
          <w:szCs w:val="24"/>
          <w:lang w:val="bg-BG"/>
        </w:rPr>
        <w:t>Помощта по схемата се изразява като парични безвъзмездни средства (БФП), поради което се счита за прозрачна помощ. В размерът на помощта се изразява в брутно изражение, преди облагане с данъци или други такси. Предвид факта, че по схемата е въведена точна дата за получаване на помощта не се извършва сконтиране, тъй като не е налице изплащане на траншове.</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lastRenderedPageBreak/>
        <w:t xml:space="preserve">В случай на сливания или придобивания на ССО, извършени през периода на обновяването, към датата на предоставянето на помощта, всички помощи </w:t>
      </w:r>
      <w:proofErr w:type="spellStart"/>
      <w:r w:rsidRPr="00CE6133">
        <w:rPr>
          <w:rFonts w:ascii="Times New Roman" w:hAnsi="Times New Roman"/>
          <w:sz w:val="24"/>
          <w:szCs w:val="24"/>
          <w:lang w:val="bg-BG"/>
        </w:rPr>
        <w:t>de</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minimis</w:t>
      </w:r>
      <w:proofErr w:type="spellEnd"/>
      <w:r w:rsidRPr="00CE6133">
        <w:rPr>
          <w:rFonts w:ascii="Times New Roman" w:hAnsi="Times New Roman"/>
          <w:sz w:val="24"/>
          <w:szCs w:val="24"/>
          <w:lang w:val="bg-BG"/>
        </w:rPr>
        <w:t>, предоставяни на някое от сливащите се предприятия по схемата, се вземат под внимание за да се определи дали помощта отпусната по схемата на новото предприятие или на придобиващото предприятие, няма да доведе до превишаване на съответния таван.</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Ако в периода на обновяване, към датата на предоставянето на помощта, дадено предприятие се разделя на две или повече отделни предприятия, помощта </w:t>
      </w:r>
      <w:proofErr w:type="spellStart"/>
      <w:r w:rsidRPr="00CE6133">
        <w:rPr>
          <w:rFonts w:ascii="Times New Roman" w:hAnsi="Times New Roman"/>
          <w:sz w:val="24"/>
          <w:szCs w:val="24"/>
          <w:lang w:val="bg-BG"/>
        </w:rPr>
        <w:t>de</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minimis</w:t>
      </w:r>
      <w:proofErr w:type="spellEnd"/>
      <w:r w:rsidRPr="00CE6133">
        <w:rPr>
          <w:rFonts w:ascii="Times New Roman" w:hAnsi="Times New Roman"/>
          <w:sz w:val="24"/>
          <w:szCs w:val="24"/>
          <w:lang w:val="bg-BG"/>
        </w:rPr>
        <w:t xml:space="preserve"> по схемата, се начислява на това предприятие, което поема дейността. В случай, че последното не е възможно се извършва пропорционално разделяне на помощта на база на счетоводната стойност на собствения капитал на новите предприятия.</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Сливанията, </w:t>
      </w:r>
      <w:proofErr w:type="spellStart"/>
      <w:r w:rsidRPr="00CE6133">
        <w:rPr>
          <w:rFonts w:ascii="Times New Roman" w:hAnsi="Times New Roman"/>
          <w:sz w:val="24"/>
          <w:szCs w:val="24"/>
          <w:lang w:val="bg-BG"/>
        </w:rPr>
        <w:t>придобиванията</w:t>
      </w:r>
      <w:proofErr w:type="spellEnd"/>
      <w:r w:rsidRPr="00CE6133">
        <w:rPr>
          <w:rFonts w:ascii="Times New Roman" w:hAnsi="Times New Roman"/>
          <w:sz w:val="24"/>
          <w:szCs w:val="24"/>
          <w:lang w:val="bg-BG"/>
        </w:rPr>
        <w:t xml:space="preserve"> и </w:t>
      </w:r>
      <w:proofErr w:type="spellStart"/>
      <w:r w:rsidRPr="00CE6133">
        <w:rPr>
          <w:rFonts w:ascii="Times New Roman" w:hAnsi="Times New Roman"/>
          <w:sz w:val="24"/>
          <w:szCs w:val="24"/>
          <w:lang w:val="bg-BG"/>
        </w:rPr>
        <w:t>разделянията</w:t>
      </w:r>
      <w:proofErr w:type="spellEnd"/>
      <w:r w:rsidRPr="00CE6133">
        <w:rPr>
          <w:rFonts w:ascii="Times New Roman" w:hAnsi="Times New Roman"/>
          <w:sz w:val="24"/>
          <w:szCs w:val="24"/>
          <w:lang w:val="bg-BG"/>
        </w:rPr>
        <w:t xml:space="preserve"> също са предмет на деклариране от ССО в декларацията по </w:t>
      </w:r>
      <w:r w:rsidRPr="00CE6133">
        <w:rPr>
          <w:rFonts w:ascii="Times New Roman" w:hAnsi="Times New Roman"/>
          <w:bCs/>
          <w:sz w:val="24"/>
          <w:szCs w:val="24"/>
          <w:lang w:val="bg-BG"/>
        </w:rPr>
        <w:t>приложение № 2. Същите са необходими с оглед правилното установяване на размера на получените минимални помощи от даден ССО.</w:t>
      </w:r>
      <w:r w:rsidRPr="00CE6133">
        <w:rPr>
          <w:rFonts w:ascii="Times New Roman" w:hAnsi="Times New Roman"/>
          <w:sz w:val="24"/>
          <w:szCs w:val="24"/>
          <w:lang w:val="bg-BG"/>
        </w:rPr>
        <w:t xml:space="preserve"> </w:t>
      </w:r>
    </w:p>
    <w:p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 xml:space="preserve"> Допустим максимален размер на БФП</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Допустимият максимален размер на БФП следва да е такъв, който не води до надвишаване на праговете, определени в </w:t>
      </w:r>
      <w:r w:rsidRPr="00CE6133">
        <w:rPr>
          <w:rFonts w:ascii="Times New Roman" w:hAnsi="Times New Roman"/>
          <w:color w:val="000000" w:themeColor="text1"/>
          <w:sz w:val="24"/>
          <w:szCs w:val="24"/>
          <w:lang w:val="bg-BG"/>
        </w:rPr>
        <w:t xml:space="preserve">Регламент (ЕС) № 1407/2013, </w:t>
      </w:r>
      <w:r w:rsidRPr="00CE6133">
        <w:rPr>
          <w:rFonts w:ascii="Times New Roman" w:hAnsi="Times New Roman"/>
          <w:sz w:val="24"/>
          <w:szCs w:val="24"/>
          <w:lang w:val="bg-BG"/>
        </w:rPr>
        <w:t xml:space="preserve">а именно: левовата равностойност на 200 000 евро (391 166 лева) </w:t>
      </w:r>
      <w:r w:rsidRPr="00CE6133">
        <w:rPr>
          <w:rFonts w:ascii="Times New Roman" w:hAnsi="Times New Roman"/>
          <w:color w:val="000000" w:themeColor="text1"/>
          <w:sz w:val="24"/>
          <w:szCs w:val="24"/>
          <w:lang w:val="bg-BG"/>
        </w:rPr>
        <w:t xml:space="preserve">за период от 3 (три) последователни фискални години. </w:t>
      </w:r>
      <w:r w:rsidRPr="00CE6133">
        <w:rPr>
          <w:rFonts w:ascii="Times New Roman" w:hAnsi="Times New Roman"/>
          <w:sz w:val="24"/>
          <w:szCs w:val="24"/>
          <w:lang w:val="bg-BG"/>
        </w:rPr>
        <w:t>Общият размер на минималната помощ, предоставена на едно и също предприятие, осъществяващо дейност в отрасъл „шосеен транспорт”, не може да надхвърля левовата равностойност на 100 000 евро (195 583 лева) за период от 3 (три) последователни фискални години.</w:t>
      </w:r>
    </w:p>
    <w:p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CE6133">
        <w:rPr>
          <w:rFonts w:ascii="Times New Roman" w:hAnsi="Times New Roman"/>
          <w:bCs/>
          <w:sz w:val="24"/>
          <w:szCs w:val="24"/>
          <w:lang w:val="bg-BG"/>
        </w:rPr>
        <w:t>Само след като общината се е уверила, че с отпускането на съответната минимална помощ по настоящата схема няма да бъдат превишени праговете, установени по-горе, тогава общината може да я предостави на съответния ССО. За целта при изчисляване на праговете се отчита размера на всички получени минимални помощи от ССО -„едно и също предприятие“, без значение на формата и източника въз основа на декларация по образец и проверка в Регистъра за държавна и минимална помощ.</w:t>
      </w:r>
    </w:p>
    <w:p w:rsidR="00CE6133" w:rsidRPr="00CE6133" w:rsidRDefault="00CE6133" w:rsidP="00CE6133">
      <w:pPr>
        <w:widowControl w:val="0"/>
        <w:overflowPunct w:val="0"/>
        <w:autoSpaceDE w:val="0"/>
        <w:autoSpaceDN w:val="0"/>
        <w:adjustRightInd w:val="0"/>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sz w:val="24"/>
          <w:szCs w:val="24"/>
          <w:lang w:val="bg-BG"/>
        </w:rPr>
        <w:t>Данните за получени минимални и/или държавни помощи следва да бъдат надлежно посочени от собствениците в декларацията за минимални и държавни помощи, попълнена по образец (</w:t>
      </w:r>
      <w:r w:rsidRPr="00CE6133">
        <w:rPr>
          <w:rFonts w:ascii="Times New Roman" w:hAnsi="Times New Roman"/>
          <w:bCs/>
          <w:sz w:val="24"/>
          <w:szCs w:val="24"/>
          <w:lang w:val="bg-BG"/>
        </w:rPr>
        <w:t xml:space="preserve">приложение № 2 </w:t>
      </w:r>
      <w:r w:rsidRPr="00CE6133">
        <w:rPr>
          <w:rFonts w:ascii="Times New Roman" w:hAnsi="Times New Roman"/>
          <w:sz w:val="24"/>
          <w:szCs w:val="24"/>
          <w:lang w:val="bg-BG"/>
        </w:rPr>
        <w:t>към договора между общината и СС (приложение № 10</w:t>
      </w:r>
      <w:r w:rsidRPr="00CE6133">
        <w:rPr>
          <w:rFonts w:ascii="Times New Roman" w:hAnsi="Times New Roman"/>
          <w:bCs/>
          <w:sz w:val="24"/>
          <w:szCs w:val="24"/>
          <w:lang w:val="bg-BG"/>
        </w:rPr>
        <w:t>)</w:t>
      </w:r>
      <w:r w:rsidRPr="00CE6133">
        <w:rPr>
          <w:rFonts w:ascii="Times New Roman" w:hAnsi="Times New Roman"/>
          <w:sz w:val="24"/>
          <w:szCs w:val="24"/>
          <w:lang w:val="bg-BG"/>
        </w:rPr>
        <w:t xml:space="preserve">. Общината </w:t>
      </w:r>
      <w:r w:rsidRPr="00CE6133">
        <w:rPr>
          <w:rFonts w:ascii="Times New Roman" w:hAnsi="Times New Roman"/>
          <w:color w:val="000000" w:themeColor="text1"/>
          <w:sz w:val="24"/>
          <w:szCs w:val="24"/>
          <w:lang w:val="bg-BG"/>
        </w:rPr>
        <w:t xml:space="preserve">оказва методическа помощ при попълването на декларацията от страна на ССО. </w:t>
      </w:r>
    </w:p>
    <w:p w:rsidR="00CE6133" w:rsidRPr="00CE6133" w:rsidRDefault="00CE6133" w:rsidP="00CE6133">
      <w:pPr>
        <w:widowControl w:val="0"/>
        <w:overflowPunct w:val="0"/>
        <w:autoSpaceDE w:val="0"/>
        <w:autoSpaceDN w:val="0"/>
        <w:adjustRightInd w:val="0"/>
        <w:snapToGrid w:val="0"/>
        <w:spacing w:after="120" w:line="240" w:lineRule="auto"/>
        <w:jc w:val="both"/>
        <w:rPr>
          <w:rFonts w:ascii="Times New Roman" w:hAnsi="Times New Roman"/>
          <w:sz w:val="24"/>
          <w:szCs w:val="24"/>
          <w:lang w:val="bg-BG"/>
        </w:rPr>
      </w:pPr>
      <w:r w:rsidRPr="00CE6133">
        <w:rPr>
          <w:rFonts w:ascii="Times New Roman" w:hAnsi="Times New Roman"/>
          <w:sz w:val="24"/>
          <w:szCs w:val="24"/>
          <w:lang w:val="bg-BG"/>
        </w:rPr>
        <w:t>Декларацията се представя подписана от собствениците на самостоятелни обекти на представляващия СС и</w:t>
      </w:r>
      <w:r w:rsidRPr="00CE6133">
        <w:rPr>
          <w:rFonts w:ascii="Times New Roman" w:hAnsi="Times New Roman"/>
          <w:color w:val="000000" w:themeColor="text1"/>
          <w:sz w:val="24"/>
          <w:szCs w:val="24"/>
          <w:lang w:val="bg-BG"/>
        </w:rPr>
        <w:t xml:space="preserve"> се прилага към заявлението за интерес и финансова помощ. Същата се прилага и към договора, който се сключва между общината и СС.</w:t>
      </w:r>
      <w:r w:rsidRPr="00CE6133">
        <w:rPr>
          <w:rFonts w:ascii="Times New Roman" w:hAnsi="Times New Roman"/>
          <w:sz w:val="24"/>
          <w:szCs w:val="24"/>
          <w:lang w:val="bg-BG"/>
        </w:rPr>
        <w:t xml:space="preserve"> </w:t>
      </w:r>
    </w:p>
    <w:p w:rsidR="00CE6133" w:rsidRPr="00CE6133" w:rsidRDefault="00CE6133" w:rsidP="00CE6133">
      <w:pPr>
        <w:widowControl w:val="0"/>
        <w:overflowPunct w:val="0"/>
        <w:autoSpaceDE w:val="0"/>
        <w:autoSpaceDN w:val="0"/>
        <w:adjustRightInd w:val="0"/>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 xml:space="preserve">В приложение </w:t>
      </w:r>
      <w:r w:rsidRPr="00CE6133">
        <w:rPr>
          <w:rFonts w:ascii="Times New Roman" w:eastAsiaTheme="minorEastAsia" w:hAnsi="Times New Roman"/>
          <w:noProof/>
          <w:color w:val="000000" w:themeColor="text1"/>
          <w:sz w:val="24"/>
          <w:szCs w:val="24"/>
          <w:lang w:val="bg-BG"/>
        </w:rPr>
        <w:t xml:space="preserve">№ </w:t>
      </w:r>
      <w:r w:rsidRPr="00CE6133">
        <w:rPr>
          <w:rFonts w:ascii="Times New Roman" w:hAnsi="Times New Roman"/>
          <w:color w:val="000000" w:themeColor="text1"/>
          <w:sz w:val="24"/>
          <w:szCs w:val="24"/>
          <w:lang w:val="bg-BG"/>
        </w:rPr>
        <w:t>6 Справка за ССО всеки ССО следва да посочи за какви цели се използва самостоятелния обект.</w:t>
      </w:r>
    </w:p>
    <w:p w:rsidR="00CE6133" w:rsidRPr="00CE6133" w:rsidRDefault="00CE6133" w:rsidP="00CE6133">
      <w:pPr>
        <w:widowControl w:val="0"/>
        <w:overflowPunct w:val="0"/>
        <w:autoSpaceDE w:val="0"/>
        <w:autoSpaceDN w:val="0"/>
        <w:adjustRightInd w:val="0"/>
        <w:snapToGrid w:val="0"/>
        <w:spacing w:after="120" w:line="240" w:lineRule="auto"/>
        <w:jc w:val="both"/>
        <w:rPr>
          <w:rFonts w:ascii="Times New Roman" w:hAnsi="Times New Roman"/>
          <w:sz w:val="24"/>
          <w:szCs w:val="24"/>
          <w:lang w:val="bg-BG"/>
        </w:rPr>
      </w:pPr>
      <w:r w:rsidRPr="00CE6133">
        <w:rPr>
          <w:rFonts w:ascii="Times New Roman" w:hAnsi="Times New Roman"/>
          <w:sz w:val="24"/>
          <w:szCs w:val="24"/>
          <w:lang w:val="bg-BG"/>
        </w:rPr>
        <w:t xml:space="preserve">Минималната помощ се счита за получена от момента на сключване на договора за целево финансиране или от датата на издаване на друг приложим документ, който дава на собственика юридическото право да я получи. </w:t>
      </w:r>
    </w:p>
    <w:p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В случаите, когато за ССО се установи, че:</w:t>
      </w:r>
    </w:p>
    <w:p w:rsidR="00CE6133" w:rsidRPr="00CE6133" w:rsidRDefault="00CE6133" w:rsidP="00CE6133">
      <w:pPr>
        <w:pStyle w:val="ListParagraph"/>
        <w:widowControl w:val="0"/>
        <w:numPr>
          <w:ilvl w:val="0"/>
          <w:numId w:val="19"/>
        </w:numPr>
        <w:overflowPunct w:val="0"/>
        <w:autoSpaceDE w:val="0"/>
        <w:autoSpaceDN w:val="0"/>
        <w:adjustRightInd w:val="0"/>
        <w:snapToGrid w:val="0"/>
        <w:spacing w:after="120"/>
        <w:jc w:val="both"/>
        <w:rPr>
          <w:lang w:val="bg-BG"/>
        </w:rPr>
      </w:pPr>
      <w:r w:rsidRPr="00CE6133">
        <w:rPr>
          <w:lang w:val="bg-BG"/>
        </w:rPr>
        <w:t xml:space="preserve"> ССО е получило минимална помощ в размер, която не позволява да получи БФП по схемата и се нахвърлят установените в </w:t>
      </w:r>
      <w:r w:rsidRPr="00CE6133">
        <w:rPr>
          <w:color w:val="000000" w:themeColor="text1"/>
          <w:lang w:val="bg-BG"/>
        </w:rPr>
        <w:t>Регламент (ЕС) № 1407/2013 прагове,</w:t>
      </w:r>
      <w:r w:rsidRPr="00CE6133">
        <w:rPr>
          <w:lang w:val="bg-BG"/>
        </w:rPr>
        <w:t xml:space="preserve"> то към съответния ССО следва да се прилагат правилата на Компонент II, описани в т. 5 от </w:t>
      </w:r>
      <w:r w:rsidRPr="00CE6133">
        <w:rPr>
          <w:lang w:val="bg-BG"/>
        </w:rPr>
        <w:lastRenderedPageBreak/>
        <w:t>настоящите условия.</w:t>
      </w:r>
    </w:p>
    <w:p w:rsidR="00CE6133" w:rsidRPr="00CE6133" w:rsidRDefault="00CE6133" w:rsidP="00CE6133">
      <w:pPr>
        <w:pStyle w:val="ListParagraph"/>
        <w:widowControl w:val="0"/>
        <w:numPr>
          <w:ilvl w:val="0"/>
          <w:numId w:val="19"/>
        </w:numPr>
        <w:overflowPunct w:val="0"/>
        <w:autoSpaceDE w:val="0"/>
        <w:autoSpaceDN w:val="0"/>
        <w:adjustRightInd w:val="0"/>
        <w:snapToGrid w:val="0"/>
        <w:spacing w:after="120"/>
        <w:jc w:val="both"/>
        <w:rPr>
          <w:lang w:val="bg-BG"/>
        </w:rPr>
      </w:pPr>
      <w:r w:rsidRPr="00CE6133">
        <w:rPr>
          <w:lang w:val="bg-BG"/>
        </w:rPr>
        <w:t xml:space="preserve">ССО е получило минимална помощ в размер, която позволява ССО да получи и БФП по схемата до установените прагове. В този случай, като помощ по схемата, може да се предостави БФП в такъв размер, който сумиран с всички други минимални помощи, получени от ССО през двете предходни фискални години и текущата е до стойностите на установените в Регламент (ЕС) № 1407/2013 прагове. За остатъкът до пълния размер на БФП по схемата, надвишаващ установените в регламента прагове, към ССО следва да се прилагат правилата на Компонент II, описани в т. 5 от настоящите условия. Последното означава, че ССО заплаща за своя сметка само </w:t>
      </w:r>
      <w:proofErr w:type="spellStart"/>
      <w:r w:rsidRPr="00CE6133">
        <w:rPr>
          <w:lang w:val="bg-BG"/>
        </w:rPr>
        <w:t>превишението</w:t>
      </w:r>
      <w:proofErr w:type="spellEnd"/>
      <w:r w:rsidRPr="00CE6133">
        <w:rPr>
          <w:lang w:val="bg-BG"/>
        </w:rPr>
        <w:t xml:space="preserve"> над праговете по регламента. </w:t>
      </w:r>
    </w:p>
    <w:p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 xml:space="preserve"> Натрупване на помощта „</w:t>
      </w:r>
      <w:proofErr w:type="spellStart"/>
      <w:r w:rsidRPr="00CE6133">
        <w:rPr>
          <w:rFonts w:ascii="Times New Roman" w:hAnsi="Times New Roman"/>
          <w:b/>
          <w:sz w:val="24"/>
          <w:szCs w:val="24"/>
          <w:lang w:val="bg-BG"/>
        </w:rPr>
        <w:t>de</w:t>
      </w:r>
      <w:proofErr w:type="spellEnd"/>
      <w:r w:rsidRPr="00CE6133">
        <w:rPr>
          <w:rFonts w:ascii="Times New Roman" w:hAnsi="Times New Roman"/>
          <w:b/>
          <w:sz w:val="24"/>
          <w:szCs w:val="24"/>
          <w:lang w:val="bg-BG"/>
        </w:rPr>
        <w:t xml:space="preserve"> </w:t>
      </w:r>
      <w:proofErr w:type="spellStart"/>
      <w:r w:rsidRPr="00CE6133">
        <w:rPr>
          <w:rFonts w:ascii="Times New Roman" w:hAnsi="Times New Roman"/>
          <w:b/>
          <w:sz w:val="24"/>
          <w:szCs w:val="24"/>
          <w:lang w:val="bg-BG"/>
        </w:rPr>
        <w:t>minimis</w:t>
      </w:r>
      <w:proofErr w:type="spellEnd"/>
      <w:r w:rsidRPr="00CE6133">
        <w:rPr>
          <w:rFonts w:ascii="Times New Roman" w:hAnsi="Times New Roman"/>
          <w:b/>
          <w:sz w:val="24"/>
          <w:szCs w:val="24"/>
          <w:lang w:val="bg-BG"/>
        </w:rPr>
        <w:t>“</w:t>
      </w:r>
    </w:p>
    <w:p w:rsidR="00CE6133" w:rsidRPr="00CE6133" w:rsidRDefault="00CE6133" w:rsidP="00CE6133">
      <w:pPr>
        <w:snapToGrid w:val="0"/>
        <w:spacing w:after="120" w:line="240" w:lineRule="auto"/>
        <w:ind w:left="4"/>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 xml:space="preserve">Помощта </w:t>
      </w:r>
      <w:proofErr w:type="spellStart"/>
      <w:r w:rsidRPr="00CE6133">
        <w:rPr>
          <w:rFonts w:ascii="Times New Roman" w:hAnsi="Times New Roman"/>
          <w:color w:val="000000" w:themeColor="text1"/>
          <w:sz w:val="24"/>
          <w:szCs w:val="24"/>
          <w:lang w:val="bg-BG"/>
        </w:rPr>
        <w:t>de</w:t>
      </w:r>
      <w:proofErr w:type="spellEnd"/>
      <w:r w:rsidRPr="00CE6133">
        <w:rPr>
          <w:rFonts w:ascii="Times New Roman" w:hAnsi="Times New Roman"/>
          <w:color w:val="000000" w:themeColor="text1"/>
          <w:sz w:val="24"/>
          <w:szCs w:val="24"/>
          <w:lang w:val="bg-BG"/>
        </w:rPr>
        <w:t xml:space="preserve"> </w:t>
      </w:r>
      <w:proofErr w:type="spellStart"/>
      <w:r w:rsidRPr="00CE6133">
        <w:rPr>
          <w:rFonts w:ascii="Times New Roman" w:hAnsi="Times New Roman"/>
          <w:color w:val="000000" w:themeColor="text1"/>
          <w:sz w:val="24"/>
          <w:szCs w:val="24"/>
          <w:lang w:val="bg-BG"/>
        </w:rPr>
        <w:t>minimis</w:t>
      </w:r>
      <w:proofErr w:type="spellEnd"/>
      <w:r w:rsidRPr="00CE6133">
        <w:rPr>
          <w:rFonts w:ascii="Times New Roman" w:hAnsi="Times New Roman"/>
          <w:color w:val="000000" w:themeColor="text1"/>
          <w:sz w:val="24"/>
          <w:szCs w:val="24"/>
          <w:lang w:val="bg-BG"/>
        </w:rPr>
        <w:t xml:space="preserve">, предоставена съгласно </w:t>
      </w:r>
      <w:proofErr w:type="spellStart"/>
      <w:r w:rsidRPr="00CE6133">
        <w:rPr>
          <w:rFonts w:ascii="Times New Roman" w:hAnsi="Times New Roman"/>
          <w:color w:val="000000" w:themeColor="text1"/>
          <w:sz w:val="24"/>
          <w:szCs w:val="24"/>
          <w:lang w:val="bg-BG"/>
        </w:rPr>
        <w:t>настоящaта</w:t>
      </w:r>
      <w:proofErr w:type="spellEnd"/>
      <w:r w:rsidRPr="00CE6133">
        <w:rPr>
          <w:rFonts w:ascii="Times New Roman" w:hAnsi="Times New Roman"/>
          <w:color w:val="000000" w:themeColor="text1"/>
          <w:sz w:val="24"/>
          <w:szCs w:val="24"/>
          <w:lang w:val="bg-BG"/>
        </w:rPr>
        <w:t xml:space="preserve"> схема, може да се натрупва с:</w:t>
      </w:r>
    </w:p>
    <w:p w:rsidR="00CE6133" w:rsidRPr="00CE6133" w:rsidRDefault="00CE6133" w:rsidP="00CE6133">
      <w:pPr>
        <w:pStyle w:val="ListParagraph"/>
        <w:numPr>
          <w:ilvl w:val="0"/>
          <w:numId w:val="13"/>
        </w:numPr>
        <w:snapToGrid w:val="0"/>
        <w:spacing w:after="120"/>
        <w:jc w:val="both"/>
        <w:rPr>
          <w:color w:val="000000" w:themeColor="text1"/>
          <w:lang w:val="bg-BG"/>
        </w:rPr>
      </w:pPr>
      <w:r w:rsidRPr="00CE6133">
        <w:rPr>
          <w:color w:val="000000" w:themeColor="text1"/>
          <w:lang w:val="bg-BG"/>
        </w:rPr>
        <w:t xml:space="preserve"> помощ </w:t>
      </w:r>
      <w:proofErr w:type="spellStart"/>
      <w:r w:rsidRPr="00CE6133">
        <w:rPr>
          <w:color w:val="000000" w:themeColor="text1"/>
          <w:lang w:val="bg-BG"/>
        </w:rPr>
        <w:t>de</w:t>
      </w:r>
      <w:proofErr w:type="spellEnd"/>
      <w:r w:rsidRPr="00CE6133">
        <w:rPr>
          <w:color w:val="000000" w:themeColor="text1"/>
          <w:lang w:val="bg-BG"/>
        </w:rPr>
        <w:t xml:space="preserve"> </w:t>
      </w:r>
      <w:proofErr w:type="spellStart"/>
      <w:r w:rsidRPr="00CE6133">
        <w:rPr>
          <w:color w:val="000000" w:themeColor="text1"/>
          <w:lang w:val="bg-BG"/>
        </w:rPr>
        <w:t>minimis</w:t>
      </w:r>
      <w:proofErr w:type="spellEnd"/>
      <w:r w:rsidRPr="00CE6133">
        <w:rPr>
          <w:color w:val="000000" w:themeColor="text1"/>
          <w:lang w:val="bg-BG"/>
        </w:rPr>
        <w:t>, предоставена съгласно Регламент (ЕС) № 360/2012 на Комисията</w:t>
      </w:r>
      <w:r w:rsidRPr="00CE6133">
        <w:rPr>
          <w:rStyle w:val="FootnoteReference"/>
          <w:rFonts w:eastAsia="Calibri"/>
          <w:color w:val="000000" w:themeColor="text1"/>
          <w:lang w:val="bg-BG"/>
        </w:rPr>
        <w:footnoteReference w:id="3"/>
      </w:r>
      <w:r w:rsidRPr="00CE6133">
        <w:rPr>
          <w:color w:val="000000" w:themeColor="text1"/>
          <w:lang w:val="bg-BG"/>
        </w:rPr>
        <w:t xml:space="preserve"> до тавана, установен в посочения регламент;</w:t>
      </w:r>
    </w:p>
    <w:p w:rsidR="00CE6133" w:rsidRPr="00CE6133" w:rsidRDefault="00CE6133" w:rsidP="00CE6133">
      <w:pPr>
        <w:pStyle w:val="ListParagraph"/>
        <w:numPr>
          <w:ilvl w:val="0"/>
          <w:numId w:val="13"/>
        </w:numPr>
        <w:snapToGrid w:val="0"/>
        <w:spacing w:after="120"/>
        <w:jc w:val="both"/>
        <w:rPr>
          <w:color w:val="000000" w:themeColor="text1"/>
          <w:lang w:val="bg-BG"/>
        </w:rPr>
      </w:pPr>
      <w:r w:rsidRPr="00CE6133">
        <w:rPr>
          <w:color w:val="000000" w:themeColor="text1"/>
          <w:lang w:val="bg-BG"/>
        </w:rPr>
        <w:t xml:space="preserve"> помощ </w:t>
      </w:r>
      <w:proofErr w:type="spellStart"/>
      <w:r w:rsidRPr="00CE6133">
        <w:rPr>
          <w:color w:val="000000" w:themeColor="text1"/>
          <w:lang w:val="bg-BG"/>
        </w:rPr>
        <w:t>de</w:t>
      </w:r>
      <w:proofErr w:type="spellEnd"/>
      <w:r w:rsidRPr="00CE6133">
        <w:rPr>
          <w:color w:val="000000" w:themeColor="text1"/>
          <w:lang w:val="bg-BG"/>
        </w:rPr>
        <w:t xml:space="preserve"> </w:t>
      </w:r>
      <w:proofErr w:type="spellStart"/>
      <w:r w:rsidRPr="00CE6133">
        <w:rPr>
          <w:color w:val="000000" w:themeColor="text1"/>
          <w:lang w:val="bg-BG"/>
        </w:rPr>
        <w:t>minimis</w:t>
      </w:r>
      <w:proofErr w:type="spellEnd"/>
      <w:r w:rsidRPr="00CE6133">
        <w:rPr>
          <w:color w:val="000000" w:themeColor="text1"/>
          <w:lang w:val="bg-BG"/>
        </w:rPr>
        <w:t xml:space="preserve">, предоставяна съгласно други регламенти за помощ </w:t>
      </w:r>
      <w:proofErr w:type="spellStart"/>
      <w:r w:rsidRPr="00CE6133">
        <w:rPr>
          <w:color w:val="000000" w:themeColor="text1"/>
          <w:lang w:val="bg-BG"/>
        </w:rPr>
        <w:t>de</w:t>
      </w:r>
      <w:proofErr w:type="spellEnd"/>
      <w:r w:rsidRPr="00CE6133">
        <w:rPr>
          <w:color w:val="000000" w:themeColor="text1"/>
          <w:lang w:val="bg-BG"/>
        </w:rPr>
        <w:t xml:space="preserve"> </w:t>
      </w:r>
      <w:proofErr w:type="spellStart"/>
      <w:r w:rsidRPr="00CE6133">
        <w:rPr>
          <w:color w:val="000000" w:themeColor="text1"/>
          <w:lang w:val="bg-BG"/>
        </w:rPr>
        <w:t>minimis</w:t>
      </w:r>
      <w:proofErr w:type="spellEnd"/>
      <w:r w:rsidRPr="00CE6133">
        <w:rPr>
          <w:color w:val="000000" w:themeColor="text1"/>
          <w:lang w:val="bg-BG"/>
        </w:rPr>
        <w:t xml:space="preserve">, до съответния таван, определен в Регламент (ЕС) № 1407/2013. </w:t>
      </w:r>
    </w:p>
    <w:p w:rsidR="00CE6133" w:rsidRPr="00CE6133" w:rsidRDefault="00CE6133" w:rsidP="00CE6133">
      <w:pPr>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 xml:space="preserve">Помощта </w:t>
      </w:r>
      <w:proofErr w:type="spellStart"/>
      <w:r w:rsidRPr="00CE6133">
        <w:rPr>
          <w:rFonts w:ascii="Times New Roman" w:hAnsi="Times New Roman"/>
          <w:color w:val="000000" w:themeColor="text1"/>
          <w:sz w:val="24"/>
          <w:szCs w:val="24"/>
          <w:lang w:val="bg-BG"/>
        </w:rPr>
        <w:t>de</w:t>
      </w:r>
      <w:proofErr w:type="spellEnd"/>
      <w:r w:rsidRPr="00CE6133">
        <w:rPr>
          <w:rFonts w:ascii="Times New Roman" w:hAnsi="Times New Roman"/>
          <w:color w:val="000000" w:themeColor="text1"/>
          <w:sz w:val="24"/>
          <w:szCs w:val="24"/>
          <w:lang w:val="bg-BG"/>
        </w:rPr>
        <w:t xml:space="preserve"> </w:t>
      </w:r>
      <w:proofErr w:type="spellStart"/>
      <w:r w:rsidRPr="00CE6133">
        <w:rPr>
          <w:rFonts w:ascii="Times New Roman" w:hAnsi="Times New Roman"/>
          <w:color w:val="000000" w:themeColor="text1"/>
          <w:sz w:val="24"/>
          <w:szCs w:val="24"/>
          <w:lang w:val="bg-BG"/>
        </w:rPr>
        <w:t>minimis</w:t>
      </w:r>
      <w:proofErr w:type="spellEnd"/>
      <w:r w:rsidRPr="00CE6133">
        <w:rPr>
          <w:rFonts w:ascii="Times New Roman" w:hAnsi="Times New Roman"/>
          <w:color w:val="000000" w:themeColor="text1"/>
          <w:sz w:val="24"/>
          <w:szCs w:val="24"/>
          <w:lang w:val="bg-BG"/>
        </w:rPr>
        <w:t xml:space="preserve"> не се натрупва с държавна помощ, отпусната за същите допустими разходи.</w:t>
      </w:r>
    </w:p>
    <w:p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 xml:space="preserve"> Допустими разходи за финансиране</w:t>
      </w:r>
    </w:p>
    <w:p w:rsidR="00CE6133" w:rsidRPr="00CE6133" w:rsidRDefault="00CE6133" w:rsidP="00CE6133">
      <w:pPr>
        <w:snapToGrid w:val="0"/>
        <w:spacing w:after="120" w:line="240" w:lineRule="auto"/>
        <w:ind w:left="6"/>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 xml:space="preserve">БФП, под формата на минимална помощ за ССО се предоставя за покриване на допустими разходи, определени в Програмата и Методическите указания към нея, приети с </w:t>
      </w:r>
      <w:bookmarkStart w:id="0" w:name="_GoBack"/>
      <w:r w:rsidRPr="00CE6133">
        <w:rPr>
          <w:rFonts w:ascii="Times New Roman" w:hAnsi="Times New Roman"/>
          <w:color w:val="000000" w:themeColor="text1"/>
          <w:sz w:val="24"/>
          <w:szCs w:val="24"/>
          <w:lang w:val="bg-BG"/>
        </w:rPr>
        <w:t>ПМС</w:t>
      </w:r>
      <w:bookmarkEnd w:id="0"/>
      <w:r w:rsidRPr="00CE6133">
        <w:rPr>
          <w:rFonts w:ascii="Times New Roman" w:hAnsi="Times New Roman"/>
          <w:color w:val="000000" w:themeColor="text1"/>
          <w:sz w:val="24"/>
          <w:szCs w:val="24"/>
          <w:lang w:val="bg-BG"/>
        </w:rPr>
        <w:t xml:space="preserve"> </w:t>
      </w:r>
      <w:r>
        <w:rPr>
          <w:rFonts w:ascii="Times New Roman" w:hAnsi="Times New Roman"/>
          <w:color w:val="000000" w:themeColor="text1"/>
          <w:sz w:val="24"/>
          <w:szCs w:val="24"/>
          <w:lang w:val="bg-BG"/>
        </w:rPr>
        <w:t>№ 18 от 2015 г.</w:t>
      </w:r>
    </w:p>
    <w:p w:rsidR="00CE6133" w:rsidRPr="00CE6133" w:rsidRDefault="00CE6133" w:rsidP="00CE6133">
      <w:pPr>
        <w:snapToGrid w:val="0"/>
        <w:spacing w:after="120" w:line="240" w:lineRule="auto"/>
        <w:ind w:left="6"/>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Минималната помощ (БФП) за всеки самостоятелен обект се изчислява на база притежаван процент идеални части от общите в сградата за всяка извършена дейност по общите части на сградата (</w:t>
      </w:r>
      <w:r w:rsidRPr="00CE6133">
        <w:rPr>
          <w:rFonts w:ascii="Times New Roman" w:hAnsi="Times New Roman"/>
          <w:bCs/>
          <w:sz w:val="24"/>
          <w:szCs w:val="24"/>
          <w:lang w:val="bg-BG"/>
        </w:rPr>
        <w:t xml:space="preserve">разходи за техническо обследване, </w:t>
      </w:r>
      <w:proofErr w:type="spellStart"/>
      <w:r w:rsidRPr="00CE6133">
        <w:rPr>
          <w:rFonts w:ascii="Times New Roman" w:hAnsi="Times New Roman"/>
          <w:bCs/>
          <w:sz w:val="24"/>
          <w:szCs w:val="24"/>
          <w:lang w:val="bg-BG"/>
        </w:rPr>
        <w:t>обследване</w:t>
      </w:r>
      <w:proofErr w:type="spellEnd"/>
      <w:r w:rsidRPr="00CE6133">
        <w:rPr>
          <w:rFonts w:ascii="Times New Roman" w:hAnsi="Times New Roman"/>
          <w:bCs/>
          <w:sz w:val="24"/>
          <w:szCs w:val="24"/>
          <w:lang w:val="bg-BG"/>
        </w:rPr>
        <w:t xml:space="preserve"> за енергийна ефективност, проектиране, оценка за съответствието, СМР, авторски надзор, строителен надзор и инвеститорски контрол, разходи, свързани с набавянето на необходими разрешителни документи, изискващи се от националното законодателство, включително и свързаните с тях такси, дължими на съответните компетентни орган; разходи, свързани с въвеждането на обекта в експлоатация</w:t>
      </w:r>
      <w:r w:rsidRPr="00CE6133">
        <w:rPr>
          <w:rFonts w:ascii="Times New Roman" w:hAnsi="Times New Roman"/>
          <w:color w:val="000000" w:themeColor="text1"/>
          <w:sz w:val="24"/>
          <w:szCs w:val="24"/>
          <w:lang w:val="bg-BG"/>
        </w:rPr>
        <w:t xml:space="preserve">), заедно с разходите за дейностите, извършени за отделния СО, когато това е приложимо. </w:t>
      </w:r>
    </w:p>
    <w:p w:rsidR="00CE6133" w:rsidRPr="00CE6133" w:rsidRDefault="00CE6133" w:rsidP="00CE6133">
      <w:pPr>
        <w:snapToGrid w:val="0"/>
        <w:spacing w:after="120" w:line="240" w:lineRule="auto"/>
        <w:ind w:left="6"/>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Разходите за подмяна на дограма се изчисляват отделно за всеки самостоятелен обект.</w:t>
      </w:r>
    </w:p>
    <w:p w:rsidR="00CE6133" w:rsidRPr="00CE6133" w:rsidRDefault="00CE6133" w:rsidP="00CE6133">
      <w:pPr>
        <w:snapToGrid w:val="0"/>
        <w:spacing w:after="120" w:line="240" w:lineRule="auto"/>
        <w:ind w:left="6"/>
        <w:jc w:val="both"/>
        <w:rPr>
          <w:rFonts w:ascii="Times New Roman" w:hAnsi="Times New Roman"/>
          <w:sz w:val="24"/>
          <w:szCs w:val="24"/>
          <w:lang w:val="bg-BG"/>
        </w:rPr>
      </w:pPr>
      <w:r w:rsidRPr="00CE6133">
        <w:rPr>
          <w:rFonts w:ascii="Times New Roman" w:hAnsi="Times New Roman"/>
          <w:color w:val="000000" w:themeColor="text1"/>
          <w:sz w:val="24"/>
          <w:szCs w:val="24"/>
          <w:lang w:val="bg-BG"/>
        </w:rPr>
        <w:t>При изчисленията на разходите за собственика следва да се спазва редът, описан в п</w:t>
      </w:r>
      <w:r w:rsidRPr="00CE6133">
        <w:rPr>
          <w:rFonts w:ascii="Times New Roman" w:hAnsi="Times New Roman"/>
          <w:sz w:val="24"/>
          <w:szCs w:val="24"/>
          <w:lang w:val="bg-BG"/>
        </w:rPr>
        <w:t xml:space="preserve">риложение </w:t>
      </w:r>
      <w:r w:rsidRPr="00CE6133">
        <w:rPr>
          <w:rFonts w:ascii="Times New Roman" w:hAnsi="Times New Roman"/>
          <w:bCs/>
          <w:sz w:val="24"/>
          <w:szCs w:val="24"/>
          <w:lang w:val="bg-BG"/>
        </w:rPr>
        <w:t xml:space="preserve">№ </w:t>
      </w:r>
      <w:r w:rsidRPr="00CE6133">
        <w:rPr>
          <w:rFonts w:ascii="Times New Roman" w:hAnsi="Times New Roman"/>
          <w:sz w:val="24"/>
          <w:szCs w:val="24"/>
          <w:lang w:val="bg-BG"/>
        </w:rPr>
        <w:t>1 към настоящите условия, приложим за Компонент I.</w:t>
      </w:r>
    </w:p>
    <w:p w:rsidR="00CE6133" w:rsidRPr="00CE6133" w:rsidRDefault="00CE6133" w:rsidP="00CE6133">
      <w:pPr>
        <w:snapToGrid w:val="0"/>
        <w:spacing w:after="120" w:line="240" w:lineRule="auto"/>
        <w:ind w:left="6"/>
        <w:jc w:val="both"/>
        <w:rPr>
          <w:rFonts w:ascii="Times New Roman" w:hAnsi="Times New Roman"/>
          <w:color w:val="000000" w:themeColor="text1"/>
          <w:sz w:val="24"/>
          <w:szCs w:val="24"/>
          <w:lang w:val="bg-BG"/>
        </w:rPr>
      </w:pPr>
      <w:r w:rsidRPr="00CE6133">
        <w:rPr>
          <w:rFonts w:ascii="Times New Roman" w:hAnsi="Times New Roman"/>
          <w:sz w:val="24"/>
          <w:szCs w:val="24"/>
          <w:lang w:val="bg-BG"/>
        </w:rPr>
        <w:t xml:space="preserve">В приложение </w:t>
      </w:r>
      <w:r w:rsidRPr="00CE6133">
        <w:rPr>
          <w:rFonts w:ascii="Times New Roman" w:hAnsi="Times New Roman"/>
          <w:bCs/>
          <w:sz w:val="24"/>
          <w:szCs w:val="24"/>
          <w:lang w:val="bg-BG"/>
        </w:rPr>
        <w:t xml:space="preserve">№ </w:t>
      </w:r>
      <w:r w:rsidRPr="00CE6133">
        <w:rPr>
          <w:rFonts w:ascii="Times New Roman" w:hAnsi="Times New Roman"/>
          <w:sz w:val="24"/>
          <w:szCs w:val="24"/>
          <w:lang w:val="bg-BG"/>
        </w:rPr>
        <w:t>1 са описани и всички допустими разходи, които се покриват по Програмата.</w:t>
      </w:r>
    </w:p>
    <w:p w:rsidR="00CE6133" w:rsidRPr="00CE6133" w:rsidRDefault="00CE6133" w:rsidP="00CE6133">
      <w:pPr>
        <w:pStyle w:val="ListParagraph"/>
        <w:snapToGrid w:val="0"/>
        <w:spacing w:after="120"/>
        <w:ind w:left="0"/>
        <w:jc w:val="both"/>
        <w:rPr>
          <w:color w:val="000000" w:themeColor="text1"/>
          <w:lang w:val="bg-BG"/>
        </w:rPr>
      </w:pPr>
    </w:p>
    <w:p w:rsidR="00CE6133" w:rsidRPr="00CE6133" w:rsidRDefault="00CE6133" w:rsidP="00CE6133">
      <w:pPr>
        <w:widowControl w:val="0"/>
        <w:numPr>
          <w:ilvl w:val="0"/>
          <w:numId w:val="9"/>
        </w:numPr>
        <w:autoSpaceDE w:val="0"/>
        <w:autoSpaceDN w:val="0"/>
        <w:adjustRightInd w:val="0"/>
        <w:snapToGrid w:val="0"/>
        <w:spacing w:after="120" w:line="240" w:lineRule="auto"/>
        <w:rPr>
          <w:rFonts w:ascii="Times New Roman" w:hAnsi="Times New Roman"/>
          <w:b/>
          <w:bCs/>
          <w:sz w:val="24"/>
          <w:szCs w:val="24"/>
          <w:lang w:val="bg-BG"/>
        </w:rPr>
      </w:pPr>
      <w:r w:rsidRPr="00CE6133">
        <w:rPr>
          <w:rFonts w:ascii="Times New Roman" w:hAnsi="Times New Roman"/>
          <w:b/>
          <w:bCs/>
          <w:sz w:val="24"/>
          <w:szCs w:val="24"/>
          <w:lang w:val="bg-BG"/>
        </w:rPr>
        <w:t xml:space="preserve"> ПРИЛОЖЕНИЕ НА КОМПОНЕНТ II</w:t>
      </w:r>
    </w:p>
    <w:p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CE6133">
        <w:rPr>
          <w:rFonts w:ascii="Times New Roman" w:hAnsi="Times New Roman"/>
          <w:bCs/>
          <w:sz w:val="24"/>
          <w:szCs w:val="24"/>
          <w:lang w:val="bg-BG"/>
        </w:rPr>
        <w:t xml:space="preserve">Съгласно описаните в т. 3.2.1 компоненти, следва да се има предвид, че Компонент II се прилага към всички ССО, допустими по Програмата за получаване на БФП, които </w:t>
      </w:r>
      <w:r w:rsidRPr="00CE6133">
        <w:rPr>
          <w:rFonts w:ascii="Times New Roman" w:hAnsi="Times New Roman"/>
          <w:bCs/>
          <w:sz w:val="24"/>
          <w:szCs w:val="24"/>
          <w:lang w:val="bg-BG"/>
        </w:rPr>
        <w:lastRenderedPageBreak/>
        <w:t xml:space="preserve">отговарят на условията в т. 3.2, но не изпълняват изискванията на Регламент (ЕС) № 1407/2013. </w:t>
      </w:r>
    </w:p>
    <w:p w:rsidR="00CE6133" w:rsidRPr="00CE6133" w:rsidRDefault="00CE6133" w:rsidP="00CE6133">
      <w:pPr>
        <w:widowControl w:val="0"/>
        <w:autoSpaceDE w:val="0"/>
        <w:autoSpaceDN w:val="0"/>
        <w:adjustRightInd w:val="0"/>
        <w:snapToGrid w:val="0"/>
        <w:spacing w:after="120" w:line="240" w:lineRule="auto"/>
        <w:jc w:val="both"/>
        <w:rPr>
          <w:rFonts w:ascii="Times New Roman" w:hAnsi="Times New Roman"/>
          <w:bCs/>
          <w:sz w:val="24"/>
          <w:szCs w:val="24"/>
          <w:lang w:val="bg-BG"/>
        </w:rPr>
      </w:pPr>
      <w:r w:rsidRPr="00CE6133">
        <w:rPr>
          <w:rFonts w:ascii="Times New Roman" w:hAnsi="Times New Roman"/>
          <w:bCs/>
          <w:sz w:val="24"/>
          <w:szCs w:val="24"/>
          <w:lang w:val="bg-BG"/>
        </w:rPr>
        <w:t>Компонент II се прилага п</w:t>
      </w:r>
      <w:r w:rsidRPr="00CE6133">
        <w:rPr>
          <w:rFonts w:ascii="Times New Roman" w:hAnsi="Times New Roman"/>
          <w:color w:val="000000" w:themeColor="text1"/>
          <w:sz w:val="24"/>
          <w:szCs w:val="24"/>
          <w:lang w:val="bg-BG"/>
        </w:rPr>
        <w:t xml:space="preserve">ри наличие на ССО в сградата, в които се упражнява стопанска дейност, включително, но не само: отдаване под наем или извършване на дейност от търговци и/или лица със свободни професии, които са извън обхвата на правилата за минималната помощ съгласно </w:t>
      </w:r>
      <w:r w:rsidRPr="00CE6133">
        <w:rPr>
          <w:rFonts w:ascii="Times New Roman" w:hAnsi="Times New Roman"/>
          <w:bCs/>
          <w:sz w:val="24"/>
          <w:szCs w:val="24"/>
          <w:lang w:val="bg-BG"/>
        </w:rPr>
        <w:t>Регламент (ЕС) № 1407/2013, както и тези, които са в обхвата на т. 4.</w:t>
      </w:r>
      <w:proofErr w:type="spellStart"/>
      <w:r w:rsidRPr="00CE6133">
        <w:rPr>
          <w:rFonts w:ascii="Times New Roman" w:hAnsi="Times New Roman"/>
          <w:bCs/>
          <w:sz w:val="24"/>
          <w:szCs w:val="24"/>
          <w:lang w:val="bg-BG"/>
        </w:rPr>
        <w:t>4</w:t>
      </w:r>
      <w:proofErr w:type="spellEnd"/>
      <w:r w:rsidRPr="00CE6133">
        <w:rPr>
          <w:rFonts w:ascii="Times New Roman" w:hAnsi="Times New Roman"/>
          <w:bCs/>
          <w:sz w:val="24"/>
          <w:szCs w:val="24"/>
          <w:lang w:val="bg-BG"/>
        </w:rPr>
        <w:t>.2 от настоящите условия.</w:t>
      </w:r>
    </w:p>
    <w:p w:rsidR="00CE6133" w:rsidRPr="00CE6133" w:rsidRDefault="00CE6133" w:rsidP="00CE6133">
      <w:pPr>
        <w:widowControl w:val="0"/>
        <w:autoSpaceDE w:val="0"/>
        <w:autoSpaceDN w:val="0"/>
        <w:adjustRightInd w:val="0"/>
        <w:snapToGrid w:val="0"/>
        <w:spacing w:after="120" w:line="240" w:lineRule="auto"/>
        <w:jc w:val="both"/>
        <w:rPr>
          <w:rFonts w:ascii="Times New Roman" w:hAnsi="Times New Roman"/>
          <w:bCs/>
          <w:sz w:val="24"/>
          <w:szCs w:val="24"/>
          <w:lang w:val="bg-BG"/>
        </w:rPr>
      </w:pPr>
      <w:r w:rsidRPr="00CE6133">
        <w:rPr>
          <w:rFonts w:ascii="Times New Roman" w:hAnsi="Times New Roman"/>
          <w:bCs/>
          <w:sz w:val="24"/>
          <w:szCs w:val="24"/>
          <w:lang w:val="bg-BG"/>
        </w:rPr>
        <w:t xml:space="preserve">В тези случаи, </w:t>
      </w:r>
      <w:r w:rsidRPr="00CE6133">
        <w:rPr>
          <w:rFonts w:ascii="Times New Roman" w:hAnsi="Times New Roman"/>
          <w:color w:val="000000" w:themeColor="text1"/>
          <w:sz w:val="24"/>
          <w:szCs w:val="24"/>
          <w:lang w:val="bg-BG"/>
        </w:rPr>
        <w:t xml:space="preserve">ССО не е допустим да получи безвъзмездна помощ за обновяване на сградата по Програмата и следва да осигури със собствени средства припадащия му се дял от разходите за обновяването на сградата, съобразно притежаваните от него идеални части от общите части </w:t>
      </w:r>
      <w:r w:rsidRPr="00CE6133">
        <w:rPr>
          <w:rFonts w:ascii="Times New Roman" w:hAnsi="Times New Roman"/>
          <w:bCs/>
          <w:sz w:val="24"/>
          <w:szCs w:val="24"/>
          <w:lang w:val="bg-BG"/>
        </w:rPr>
        <w:t xml:space="preserve">на сградата, заедно с разходите дейностите, извършени за отделния СО, когато това е приложимо. </w:t>
      </w:r>
    </w:p>
    <w:p w:rsidR="00CE6133" w:rsidRPr="00CE6133" w:rsidRDefault="00CE6133" w:rsidP="00CE6133">
      <w:pPr>
        <w:widowControl w:val="0"/>
        <w:autoSpaceDE w:val="0"/>
        <w:autoSpaceDN w:val="0"/>
        <w:adjustRightInd w:val="0"/>
        <w:snapToGrid w:val="0"/>
        <w:spacing w:after="120" w:line="240" w:lineRule="auto"/>
        <w:jc w:val="both"/>
        <w:rPr>
          <w:rFonts w:ascii="Times New Roman" w:hAnsi="Times New Roman"/>
          <w:bCs/>
          <w:sz w:val="24"/>
          <w:szCs w:val="24"/>
          <w:lang w:val="bg-BG"/>
        </w:rPr>
      </w:pPr>
      <w:r w:rsidRPr="00CE6133">
        <w:rPr>
          <w:rFonts w:ascii="Times New Roman" w:hAnsi="Times New Roman"/>
          <w:bCs/>
          <w:sz w:val="24"/>
          <w:szCs w:val="24"/>
          <w:lang w:val="bg-BG"/>
        </w:rPr>
        <w:t xml:space="preserve">ССО следва да подпише декларация по образец, приложение към настоящите допълнителни указания. Същата се прилага към заявлението за интерес и финансова помощ и става приложение № 3 към договора, който се сключва между общината и СС. </w:t>
      </w:r>
    </w:p>
    <w:p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 xml:space="preserve"> Допустими разходи по Програмата</w:t>
      </w:r>
    </w:p>
    <w:p w:rsidR="00CE6133" w:rsidRPr="00CE6133" w:rsidRDefault="00CE6133" w:rsidP="00CE6133">
      <w:pPr>
        <w:widowControl w:val="0"/>
        <w:autoSpaceDE w:val="0"/>
        <w:autoSpaceDN w:val="0"/>
        <w:adjustRightInd w:val="0"/>
        <w:snapToGrid w:val="0"/>
        <w:spacing w:after="120" w:line="240" w:lineRule="auto"/>
        <w:jc w:val="both"/>
        <w:rPr>
          <w:rFonts w:ascii="Times New Roman" w:hAnsi="Times New Roman"/>
          <w:bCs/>
          <w:sz w:val="24"/>
          <w:szCs w:val="24"/>
          <w:lang w:val="bg-BG"/>
        </w:rPr>
      </w:pPr>
      <w:r w:rsidRPr="00CE6133">
        <w:rPr>
          <w:rFonts w:ascii="Times New Roman" w:hAnsi="Times New Roman"/>
          <w:bCs/>
          <w:sz w:val="24"/>
          <w:szCs w:val="24"/>
          <w:lang w:val="bg-BG"/>
        </w:rPr>
        <w:t xml:space="preserve">Общината, преди да допише договора със СС, следва да изчисли обща индикативна стойност на ССО на база притежаван процент идеални части от общите в сградата за всяка извършена дейност по сградата (разходи за техническо обследване, </w:t>
      </w:r>
      <w:proofErr w:type="spellStart"/>
      <w:r w:rsidRPr="00CE6133">
        <w:rPr>
          <w:rFonts w:ascii="Times New Roman" w:hAnsi="Times New Roman"/>
          <w:bCs/>
          <w:sz w:val="24"/>
          <w:szCs w:val="24"/>
          <w:lang w:val="bg-BG"/>
        </w:rPr>
        <w:t>обследване</w:t>
      </w:r>
      <w:proofErr w:type="spellEnd"/>
      <w:r w:rsidRPr="00CE6133">
        <w:rPr>
          <w:rFonts w:ascii="Times New Roman" w:hAnsi="Times New Roman"/>
          <w:bCs/>
          <w:sz w:val="24"/>
          <w:szCs w:val="24"/>
          <w:lang w:val="bg-BG"/>
        </w:rPr>
        <w:t xml:space="preserve"> за енергийна ефективност, проектиране, оценка за съответствието, СМР, авторски надзор, строителен надзор и инвеститорски контрол, разходи, свързани с набавянето на необходими разрешителни документи, изискващи се от националното законодателство, включително и свързаните с тях такси, дължими на съответните компетентни орган; разходи, свързани с въвеждането на обекта в експлоатация). </w:t>
      </w:r>
    </w:p>
    <w:p w:rsidR="00CE6133" w:rsidRPr="00CE6133" w:rsidRDefault="00CE6133" w:rsidP="00CE6133">
      <w:pPr>
        <w:widowControl w:val="0"/>
        <w:autoSpaceDE w:val="0"/>
        <w:autoSpaceDN w:val="0"/>
        <w:adjustRightInd w:val="0"/>
        <w:snapToGrid w:val="0"/>
        <w:spacing w:after="120" w:line="240" w:lineRule="auto"/>
        <w:jc w:val="both"/>
        <w:rPr>
          <w:rFonts w:ascii="Times New Roman" w:hAnsi="Times New Roman"/>
          <w:bCs/>
          <w:sz w:val="24"/>
          <w:szCs w:val="24"/>
          <w:lang w:val="bg-BG"/>
        </w:rPr>
      </w:pPr>
      <w:r w:rsidRPr="00CE6133">
        <w:rPr>
          <w:rFonts w:ascii="Times New Roman" w:hAnsi="Times New Roman"/>
          <w:bCs/>
          <w:sz w:val="24"/>
          <w:szCs w:val="24"/>
          <w:lang w:val="bg-BG"/>
        </w:rPr>
        <w:t>Разходите за подмяна на дограма се изчисляват отделно за всеки самостоятелен обект и са в размер, съответстващ на реално извършените разходи.</w:t>
      </w:r>
    </w:p>
    <w:p w:rsidR="00CE6133" w:rsidRPr="00CE6133" w:rsidRDefault="00CE6133" w:rsidP="00CE6133">
      <w:pPr>
        <w:snapToGrid w:val="0"/>
        <w:spacing w:after="120" w:line="240" w:lineRule="auto"/>
        <w:ind w:left="6"/>
        <w:jc w:val="both"/>
        <w:rPr>
          <w:rFonts w:ascii="Times New Roman" w:hAnsi="Times New Roman"/>
          <w:sz w:val="24"/>
          <w:szCs w:val="24"/>
          <w:lang w:val="bg-BG"/>
        </w:rPr>
      </w:pPr>
      <w:r w:rsidRPr="00CE6133">
        <w:rPr>
          <w:rFonts w:ascii="Times New Roman" w:hAnsi="Times New Roman"/>
          <w:color w:val="000000" w:themeColor="text1"/>
          <w:sz w:val="24"/>
          <w:szCs w:val="24"/>
          <w:lang w:val="bg-BG"/>
        </w:rPr>
        <w:t xml:space="preserve">При изчисленията на разходите за собственика следва да се спазва редът, описан в </w:t>
      </w:r>
      <w:r w:rsidRPr="00CE6133">
        <w:rPr>
          <w:rFonts w:ascii="Times New Roman" w:hAnsi="Times New Roman"/>
          <w:sz w:val="24"/>
          <w:szCs w:val="24"/>
          <w:lang w:val="bg-BG"/>
        </w:rPr>
        <w:t xml:space="preserve">приложение </w:t>
      </w:r>
      <w:r w:rsidRPr="00CE6133">
        <w:rPr>
          <w:rFonts w:ascii="Times New Roman" w:hAnsi="Times New Roman"/>
          <w:bCs/>
          <w:sz w:val="24"/>
          <w:szCs w:val="24"/>
          <w:lang w:val="bg-BG"/>
        </w:rPr>
        <w:t xml:space="preserve">№ </w:t>
      </w:r>
      <w:r w:rsidRPr="00CE6133">
        <w:rPr>
          <w:rFonts w:ascii="Times New Roman" w:hAnsi="Times New Roman"/>
          <w:sz w:val="24"/>
          <w:szCs w:val="24"/>
          <w:lang w:val="bg-BG"/>
        </w:rPr>
        <w:t>1 към настоящите условия, приложим за Компонент II.</w:t>
      </w:r>
    </w:p>
    <w:p w:rsidR="00CE6133" w:rsidRPr="00CE6133" w:rsidRDefault="00CE6133" w:rsidP="00CE6133">
      <w:pPr>
        <w:snapToGrid w:val="0"/>
        <w:spacing w:after="120" w:line="240" w:lineRule="auto"/>
        <w:ind w:left="6"/>
        <w:jc w:val="both"/>
        <w:rPr>
          <w:rFonts w:ascii="Times New Roman" w:hAnsi="Times New Roman"/>
          <w:color w:val="000000" w:themeColor="text1"/>
          <w:sz w:val="24"/>
          <w:szCs w:val="24"/>
          <w:lang w:val="bg-BG"/>
        </w:rPr>
      </w:pPr>
      <w:r w:rsidRPr="00CE6133">
        <w:rPr>
          <w:rFonts w:ascii="Times New Roman" w:hAnsi="Times New Roman"/>
          <w:sz w:val="24"/>
          <w:szCs w:val="24"/>
          <w:lang w:val="bg-BG"/>
        </w:rPr>
        <w:t xml:space="preserve">В приложение </w:t>
      </w:r>
      <w:r w:rsidRPr="00CE6133">
        <w:rPr>
          <w:rFonts w:ascii="Times New Roman" w:hAnsi="Times New Roman"/>
          <w:bCs/>
          <w:sz w:val="24"/>
          <w:szCs w:val="24"/>
          <w:lang w:val="bg-BG"/>
        </w:rPr>
        <w:t xml:space="preserve">№ </w:t>
      </w:r>
      <w:r w:rsidRPr="00CE6133">
        <w:rPr>
          <w:rFonts w:ascii="Times New Roman" w:hAnsi="Times New Roman"/>
          <w:sz w:val="24"/>
          <w:szCs w:val="24"/>
          <w:lang w:val="bg-BG"/>
        </w:rPr>
        <w:t>1 са описани и всички разходи, които ССО може да покрие, както и индикативен график, съгласно който дължимите от него реално извършени разходи могат да бъдат погасени към общината.</w:t>
      </w:r>
    </w:p>
    <w:p w:rsidR="00CE6133" w:rsidRPr="00CE6133" w:rsidRDefault="00CE6133" w:rsidP="00CE6133">
      <w:pPr>
        <w:widowControl w:val="0"/>
        <w:autoSpaceDE w:val="0"/>
        <w:autoSpaceDN w:val="0"/>
        <w:adjustRightInd w:val="0"/>
        <w:snapToGrid w:val="0"/>
        <w:spacing w:after="120" w:line="240" w:lineRule="auto"/>
        <w:jc w:val="both"/>
        <w:rPr>
          <w:rFonts w:ascii="Times New Roman" w:hAnsi="Times New Roman"/>
          <w:bCs/>
          <w:sz w:val="24"/>
          <w:szCs w:val="24"/>
          <w:lang w:val="bg-BG"/>
        </w:rPr>
      </w:pPr>
    </w:p>
    <w:p w:rsidR="00CE6133" w:rsidRPr="00CE6133" w:rsidRDefault="00CE6133" w:rsidP="00CE6133">
      <w:pPr>
        <w:widowControl w:val="0"/>
        <w:numPr>
          <w:ilvl w:val="0"/>
          <w:numId w:val="9"/>
        </w:numPr>
        <w:autoSpaceDE w:val="0"/>
        <w:autoSpaceDN w:val="0"/>
        <w:adjustRightInd w:val="0"/>
        <w:snapToGrid w:val="0"/>
        <w:spacing w:after="120" w:line="240" w:lineRule="auto"/>
        <w:rPr>
          <w:rFonts w:ascii="Times New Roman" w:hAnsi="Times New Roman"/>
          <w:b/>
          <w:bCs/>
          <w:sz w:val="24"/>
          <w:szCs w:val="24"/>
          <w:lang w:val="bg-BG"/>
        </w:rPr>
      </w:pPr>
      <w:r w:rsidRPr="00CE6133">
        <w:rPr>
          <w:rFonts w:ascii="Times New Roman" w:hAnsi="Times New Roman"/>
          <w:b/>
          <w:bCs/>
          <w:sz w:val="24"/>
          <w:szCs w:val="24"/>
          <w:lang w:val="bg-BG"/>
        </w:rPr>
        <w:t xml:space="preserve">УВЕДОМЯВАНЕ И КОНТРОЛ </w:t>
      </w:r>
    </w:p>
    <w:p w:rsidR="00CE6133" w:rsidRPr="00CE6133" w:rsidRDefault="00CE6133" w:rsidP="00CE6133">
      <w:pPr>
        <w:snapToGrid w:val="0"/>
        <w:spacing w:after="120" w:line="240" w:lineRule="auto"/>
        <w:jc w:val="both"/>
        <w:rPr>
          <w:rFonts w:ascii="Times New Roman" w:hAnsi="Times New Roman"/>
          <w:bCs/>
          <w:sz w:val="24"/>
          <w:szCs w:val="24"/>
          <w:lang w:val="bg-BG"/>
        </w:rPr>
      </w:pPr>
      <w:r w:rsidRPr="00CE6133">
        <w:rPr>
          <w:rFonts w:ascii="Times New Roman" w:hAnsi="Times New Roman"/>
          <w:bCs/>
          <w:sz w:val="24"/>
          <w:szCs w:val="24"/>
          <w:lang w:val="bg-BG"/>
        </w:rPr>
        <w:t xml:space="preserve">Всяка община, в качеството си на администратор на минимална помощ, следва да спазва установените в Закона за държавните помощи (ЗДП) и Правилника за неговото прилагане (ППЗДП) изисквания, отнасящи се до минималните помощи. </w:t>
      </w:r>
    </w:p>
    <w:p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CE6133">
        <w:rPr>
          <w:rFonts w:ascii="Times New Roman" w:hAnsi="Times New Roman"/>
          <w:bCs/>
          <w:sz w:val="24"/>
          <w:szCs w:val="24"/>
          <w:lang w:val="bg-BG"/>
        </w:rPr>
        <w:t xml:space="preserve">При предоставянето на минималната помощ по Компонент I общината следва да провери данните в предоставените от ССО декларации за минимални и държавни помощи. За двойна проверка на декларираната информация, общината може да използва публичния модул за справки към информационна система „Регистър на минималните помощи“, достъпен на интернет страницата: </w:t>
      </w:r>
      <w:hyperlink r:id="rId9" w:history="1">
        <w:r w:rsidRPr="00CE6133">
          <w:rPr>
            <w:rFonts w:ascii="Times New Roman" w:hAnsi="Times New Roman"/>
            <w:bCs/>
            <w:sz w:val="24"/>
            <w:szCs w:val="24"/>
            <w:lang w:val="bg-BG"/>
          </w:rPr>
          <w:t>www.minimis.minfin.bg</w:t>
        </w:r>
      </w:hyperlink>
    </w:p>
    <w:p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 xml:space="preserve">Съгласно чл. 11, ал. 4 от ЗДП, при всяко предоставяне на минимална помощ общината следва в 3-дневен срок да уведоми Министерство на финансите, във формата по приложение № 5 от ППЗДП. Освен това, съгласно чл. 8, ал .2 от ППЗДП, общината следва да въведе в 3-дневен срок данните за съответния получател и размера на </w:t>
      </w:r>
      <w:r w:rsidRPr="00CE6133">
        <w:rPr>
          <w:color w:val="000000" w:themeColor="text1"/>
          <w:lang w:val="bg-BG"/>
        </w:rPr>
        <w:lastRenderedPageBreak/>
        <w:t xml:space="preserve">получената от него минимална помощ в информационна система „Регистър на минималните помощи“. Достъпът до системата се осъществява съгласно утвърдена от министъра на финансите процедура за достъп, налична в секция „Указания“ в самата система. Всяка община следва да осигури достъп на нейни служители, ангажирани с изпълнението на Програмата и задълженията във връзка с режима на минималните помощи до информационната система.    </w:t>
      </w:r>
    </w:p>
    <w:p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 xml:space="preserve">Съответната община следва да води и поддържа собствен Регистър на минималните помощи, като отговаря за достоверността на данните в него и при поискване – да осигурява достъп на представител на министъра на финансите до този Регистър. </w:t>
      </w:r>
    </w:p>
    <w:p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Информацията за предоставените минимални помощи по схемата следва да бъде публикувана на Интернет страницата на съответната община с оглед изпълнение на задълженията по чл. 11 от ЗДП.</w:t>
      </w:r>
    </w:p>
    <w:p w:rsidR="00CE6133" w:rsidRPr="00CE6133" w:rsidRDefault="00CE6133" w:rsidP="00CE6133">
      <w:pPr>
        <w:snapToGrid w:val="0"/>
        <w:spacing w:after="120" w:line="240" w:lineRule="auto"/>
        <w:jc w:val="both"/>
        <w:rPr>
          <w:rFonts w:ascii="Times New Roman" w:hAnsi="Times New Roman"/>
          <w:sz w:val="24"/>
          <w:szCs w:val="24"/>
          <w:lang w:val="bg-BG"/>
        </w:rPr>
      </w:pPr>
      <w:r w:rsidRPr="00CE6133">
        <w:rPr>
          <w:rFonts w:ascii="Times New Roman" w:hAnsi="Times New Roman"/>
          <w:sz w:val="24"/>
          <w:szCs w:val="24"/>
          <w:lang w:val="bg-BG"/>
        </w:rPr>
        <w:t xml:space="preserve">Съгласно изискванията на </w:t>
      </w:r>
      <w:r w:rsidRPr="00CE6133">
        <w:rPr>
          <w:rFonts w:ascii="Times New Roman" w:hAnsi="Times New Roman"/>
          <w:bCs/>
          <w:sz w:val="24"/>
          <w:szCs w:val="24"/>
          <w:lang w:val="bg-BG"/>
        </w:rPr>
        <w:t>Регламент (ЕС) № 1407/2013</w:t>
      </w:r>
      <w:r w:rsidRPr="00CE6133">
        <w:rPr>
          <w:rFonts w:ascii="Times New Roman" w:hAnsi="Times New Roman"/>
          <w:sz w:val="24"/>
          <w:szCs w:val="24"/>
          <w:lang w:val="bg-BG"/>
        </w:rPr>
        <w:t xml:space="preserve">, съответната общината се задължава да съхранява документацията относно индивидуалните помощи </w:t>
      </w:r>
      <w:proofErr w:type="spellStart"/>
      <w:r w:rsidRPr="00CE6133">
        <w:rPr>
          <w:rFonts w:ascii="Times New Roman" w:hAnsi="Times New Roman"/>
          <w:sz w:val="24"/>
          <w:szCs w:val="24"/>
          <w:lang w:val="bg-BG"/>
        </w:rPr>
        <w:t>de</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minimis</w:t>
      </w:r>
      <w:proofErr w:type="spellEnd"/>
      <w:r w:rsidRPr="00CE6133">
        <w:rPr>
          <w:rFonts w:ascii="Times New Roman" w:hAnsi="Times New Roman"/>
          <w:sz w:val="24"/>
          <w:szCs w:val="24"/>
          <w:lang w:val="bg-BG"/>
        </w:rPr>
        <w:t xml:space="preserve"> за период от 10 бюджетни години, считано от датата на тяхното предоставяне. Документацията относно схемите за помощ </w:t>
      </w:r>
      <w:proofErr w:type="spellStart"/>
      <w:r w:rsidRPr="00CE6133">
        <w:rPr>
          <w:rFonts w:ascii="Times New Roman" w:hAnsi="Times New Roman"/>
          <w:sz w:val="24"/>
          <w:szCs w:val="24"/>
          <w:lang w:val="bg-BG"/>
        </w:rPr>
        <w:t>de</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minimis</w:t>
      </w:r>
      <w:proofErr w:type="spellEnd"/>
      <w:r w:rsidRPr="00CE6133">
        <w:rPr>
          <w:rFonts w:ascii="Times New Roman" w:hAnsi="Times New Roman"/>
          <w:sz w:val="24"/>
          <w:szCs w:val="24"/>
          <w:lang w:val="bg-BG"/>
        </w:rPr>
        <w:t xml:space="preserve"> се съхранява за период от 10 бюджетни години от датата, на която е предоставена последната индивидуална помощ по такава схема.</w:t>
      </w:r>
    </w:p>
    <w:p w:rsidR="00CE6133" w:rsidRPr="00CE6133" w:rsidRDefault="00CE6133" w:rsidP="00CE6133">
      <w:pPr>
        <w:spacing w:after="120" w:line="240" w:lineRule="auto"/>
        <w:jc w:val="right"/>
        <w:rPr>
          <w:rFonts w:ascii="Times New Roman" w:hAnsi="Times New Roman"/>
          <w:i/>
          <w:lang w:val="bg-BG"/>
        </w:rPr>
      </w:pPr>
    </w:p>
    <w:p w:rsidR="00CE6133" w:rsidRPr="00CE6133" w:rsidRDefault="00CE6133" w:rsidP="00CE6133">
      <w:pPr>
        <w:spacing w:after="0" w:line="240" w:lineRule="auto"/>
        <w:jc w:val="right"/>
        <w:rPr>
          <w:rFonts w:ascii="Times New Roman" w:hAnsi="Times New Roman"/>
          <w:i/>
          <w:sz w:val="24"/>
          <w:szCs w:val="24"/>
          <w:lang w:val="bg-BG"/>
        </w:rPr>
      </w:pPr>
      <w:r w:rsidRPr="00CE6133">
        <w:rPr>
          <w:rFonts w:ascii="Times New Roman" w:hAnsi="Times New Roman"/>
          <w:i/>
          <w:sz w:val="24"/>
          <w:szCs w:val="24"/>
          <w:lang w:val="bg-BG"/>
        </w:rPr>
        <w:t xml:space="preserve">Приложение 1 към Условията </w:t>
      </w:r>
    </w:p>
    <w:p w:rsidR="00CE6133" w:rsidRPr="00CE6133" w:rsidRDefault="00CE6133" w:rsidP="00CE6133">
      <w:pPr>
        <w:spacing w:after="0" w:line="240" w:lineRule="auto"/>
        <w:jc w:val="right"/>
        <w:rPr>
          <w:rFonts w:ascii="Times New Roman" w:hAnsi="Times New Roman"/>
          <w:sz w:val="24"/>
          <w:szCs w:val="24"/>
          <w:lang w:val="bg-BG"/>
        </w:rPr>
      </w:pPr>
      <w:r w:rsidRPr="00CE6133">
        <w:rPr>
          <w:rFonts w:ascii="Times New Roman" w:hAnsi="Times New Roman"/>
          <w:sz w:val="24"/>
          <w:szCs w:val="24"/>
          <w:lang w:val="bg-BG"/>
        </w:rPr>
        <w:t xml:space="preserve">за изпълнение на схемата за минимална държавна помощ по </w:t>
      </w:r>
    </w:p>
    <w:p w:rsidR="00CE6133" w:rsidRPr="00CE6133" w:rsidRDefault="00CE6133" w:rsidP="00CE6133">
      <w:pPr>
        <w:spacing w:after="0" w:line="240" w:lineRule="auto"/>
        <w:jc w:val="right"/>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 xml:space="preserve">Национална програма за енергийна ефективност </w:t>
      </w:r>
    </w:p>
    <w:p w:rsidR="00CE6133" w:rsidRPr="00CE6133" w:rsidRDefault="00CE6133" w:rsidP="00CE6133">
      <w:pPr>
        <w:spacing w:after="0" w:line="240" w:lineRule="auto"/>
        <w:jc w:val="right"/>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 xml:space="preserve">на </w:t>
      </w:r>
      <w:proofErr w:type="spellStart"/>
      <w:r w:rsidRPr="00CE6133">
        <w:rPr>
          <w:rFonts w:ascii="Times New Roman" w:hAnsi="Times New Roman"/>
          <w:color w:val="000000" w:themeColor="text1"/>
          <w:sz w:val="24"/>
          <w:szCs w:val="24"/>
          <w:lang w:val="bg-BG"/>
        </w:rPr>
        <w:t>многофамилни</w:t>
      </w:r>
      <w:proofErr w:type="spellEnd"/>
      <w:r w:rsidRPr="00CE6133">
        <w:rPr>
          <w:rFonts w:ascii="Times New Roman" w:hAnsi="Times New Roman"/>
          <w:color w:val="000000" w:themeColor="text1"/>
          <w:sz w:val="24"/>
          <w:szCs w:val="24"/>
          <w:lang w:val="bg-BG"/>
        </w:rPr>
        <w:t xml:space="preserve"> жилищни сгради</w:t>
      </w:r>
    </w:p>
    <w:p w:rsidR="00CE6133" w:rsidRPr="00CE6133" w:rsidRDefault="00CE6133" w:rsidP="00CE6133">
      <w:pPr>
        <w:spacing w:after="120" w:line="240" w:lineRule="auto"/>
        <w:jc w:val="right"/>
        <w:rPr>
          <w:rFonts w:ascii="Times New Roman" w:hAnsi="Times New Roman"/>
          <w:color w:val="000000" w:themeColor="text1"/>
          <w:sz w:val="20"/>
          <w:szCs w:val="20"/>
          <w:lang w:val="bg-BG"/>
        </w:rPr>
      </w:pPr>
    </w:p>
    <w:p w:rsidR="00CE6133" w:rsidRPr="00CE6133" w:rsidRDefault="00CE6133" w:rsidP="00CE6133">
      <w:pPr>
        <w:spacing w:after="120" w:line="240" w:lineRule="auto"/>
        <w:jc w:val="right"/>
        <w:rPr>
          <w:rFonts w:ascii="Times New Roman" w:hAnsi="Times New Roman"/>
          <w:color w:val="000000" w:themeColor="text1"/>
          <w:sz w:val="20"/>
          <w:szCs w:val="20"/>
          <w:lang w:val="bg-BG"/>
        </w:rPr>
      </w:pPr>
    </w:p>
    <w:p w:rsidR="00CE6133" w:rsidRPr="00CE6133" w:rsidRDefault="00CE6133" w:rsidP="00CE6133">
      <w:pPr>
        <w:pStyle w:val="ListParagraph"/>
        <w:numPr>
          <w:ilvl w:val="0"/>
          <w:numId w:val="22"/>
        </w:numPr>
        <w:snapToGrid w:val="0"/>
        <w:spacing w:after="120"/>
        <w:ind w:left="360"/>
        <w:jc w:val="both"/>
        <w:rPr>
          <w:b/>
          <w:color w:val="000000" w:themeColor="text1"/>
          <w:lang w:val="bg-BG"/>
        </w:rPr>
      </w:pPr>
      <w:r w:rsidRPr="00CE6133">
        <w:rPr>
          <w:b/>
          <w:color w:val="000000" w:themeColor="text1"/>
          <w:lang w:val="bg-BG"/>
        </w:rPr>
        <w:t xml:space="preserve">РЕД ЗА ИЗЧИСЛЯВАНЕ НА РАЗХОДИТЕ, ПРИЛОЖИМ КЪМ </w:t>
      </w:r>
      <w:r w:rsidRPr="00CE6133">
        <w:rPr>
          <w:b/>
          <w:bCs/>
          <w:lang w:val="bg-BG"/>
        </w:rPr>
        <w:t>КОМПОНЕНТ I</w:t>
      </w:r>
    </w:p>
    <w:p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Минималната помощ (БФП) за всеки СО се изчислява на база притежаван процент идеални части от общите в сградата за всяка извършена дейност по общите части на сградата (</w:t>
      </w:r>
      <w:r w:rsidRPr="00CE6133">
        <w:rPr>
          <w:bCs/>
          <w:lang w:val="bg-BG"/>
        </w:rPr>
        <w:t xml:space="preserve">разходи за техническо обследване, </w:t>
      </w:r>
      <w:proofErr w:type="spellStart"/>
      <w:r w:rsidRPr="00CE6133">
        <w:rPr>
          <w:bCs/>
          <w:lang w:val="bg-BG"/>
        </w:rPr>
        <w:t>обследване</w:t>
      </w:r>
      <w:proofErr w:type="spellEnd"/>
      <w:r w:rsidRPr="00CE6133">
        <w:rPr>
          <w:bCs/>
          <w:lang w:val="bg-BG"/>
        </w:rPr>
        <w:t xml:space="preserve"> за енергийна ефективност, проектиране, оценка за съответствието, СМР, авторски надзор, строителен надзор и инвеститорски контрол, разходи, свързани с набавянето на необходими разрешителни документи, изискващи се от националното законодателство, включително и свързаните с тях такси, дължими на съответните компетентни орган; разходи, свързани с въвеждането на обекта в експлоатация</w:t>
      </w:r>
      <w:r w:rsidRPr="00CE6133">
        <w:rPr>
          <w:color w:val="000000" w:themeColor="text1"/>
          <w:lang w:val="bg-BG"/>
        </w:rPr>
        <w:t>), заедно с разходите за дейностите, извършени за отделния СО, когато това е приложимо.</w:t>
      </w:r>
    </w:p>
    <w:p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При изчисления на разходите за собственика следва да се спазва следния ред:</w:t>
      </w:r>
    </w:p>
    <w:p w:rsidR="00CE6133" w:rsidRPr="00CE6133" w:rsidRDefault="00CE6133" w:rsidP="00CE6133">
      <w:pPr>
        <w:pStyle w:val="ListParagraph"/>
        <w:numPr>
          <w:ilvl w:val="1"/>
          <w:numId w:val="22"/>
        </w:numPr>
        <w:snapToGrid w:val="0"/>
        <w:spacing w:after="120"/>
        <w:ind w:left="360"/>
        <w:jc w:val="both"/>
        <w:rPr>
          <w:b/>
          <w:color w:val="000000" w:themeColor="text1"/>
          <w:lang w:val="bg-BG"/>
        </w:rPr>
      </w:pPr>
      <w:r w:rsidRPr="00CE6133">
        <w:rPr>
          <w:b/>
          <w:color w:val="000000" w:themeColor="text1"/>
          <w:lang w:val="bg-BG"/>
        </w:rPr>
        <w:t xml:space="preserve"> Изчисляване на разходи за самостоятелния обект – подмяна на дограма и дейности в СО, когато това е приложимо.</w:t>
      </w:r>
    </w:p>
    <w:tbl>
      <w:tblPr>
        <w:tblW w:w="10964" w:type="dxa"/>
        <w:tblInd w:w="-781" w:type="dxa"/>
        <w:tblCellMar>
          <w:left w:w="70" w:type="dxa"/>
          <w:right w:w="70" w:type="dxa"/>
        </w:tblCellMar>
        <w:tblLook w:val="04A0" w:firstRow="1" w:lastRow="0" w:firstColumn="1" w:lastColumn="0" w:noHBand="0" w:noVBand="1"/>
      </w:tblPr>
      <w:tblGrid>
        <w:gridCol w:w="3544"/>
        <w:gridCol w:w="1880"/>
        <w:gridCol w:w="1900"/>
        <w:gridCol w:w="1900"/>
        <w:gridCol w:w="1740"/>
      </w:tblGrid>
      <w:tr w:rsidR="00CE6133" w:rsidRPr="00CE6133" w:rsidTr="00CE6133">
        <w:trPr>
          <w:trHeight w:val="885"/>
        </w:trPr>
        <w:tc>
          <w:tcPr>
            <w:tcW w:w="354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Разходи</w:t>
            </w:r>
          </w:p>
        </w:tc>
        <w:tc>
          <w:tcPr>
            <w:tcW w:w="1880" w:type="dxa"/>
            <w:tcBorders>
              <w:top w:val="single" w:sz="4" w:space="0" w:color="auto"/>
              <w:left w:val="nil"/>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Ед. Мярка</w:t>
            </w:r>
          </w:p>
        </w:tc>
        <w:tc>
          <w:tcPr>
            <w:tcW w:w="1900" w:type="dxa"/>
            <w:tcBorders>
              <w:top w:val="single" w:sz="4" w:space="0" w:color="auto"/>
              <w:left w:val="nil"/>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Количество</w:t>
            </w:r>
          </w:p>
        </w:tc>
        <w:tc>
          <w:tcPr>
            <w:tcW w:w="1900" w:type="dxa"/>
            <w:tcBorders>
              <w:top w:val="single" w:sz="4" w:space="0" w:color="auto"/>
              <w:left w:val="nil"/>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Ед. цена в лв. (без вкл. ДДС)</w:t>
            </w:r>
          </w:p>
        </w:tc>
        <w:tc>
          <w:tcPr>
            <w:tcW w:w="1740" w:type="dxa"/>
            <w:tcBorders>
              <w:top w:val="single" w:sz="4" w:space="0" w:color="auto"/>
              <w:left w:val="nil"/>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Обща цена в лв. (без вкл. ДДС)</w:t>
            </w:r>
          </w:p>
        </w:tc>
      </w:tr>
      <w:tr w:rsidR="00CE6133" w:rsidRPr="00CE6133" w:rsidTr="00CE6133">
        <w:trPr>
          <w:trHeight w:val="240"/>
        </w:trPr>
        <w:tc>
          <w:tcPr>
            <w:tcW w:w="354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2</w:t>
            </w:r>
          </w:p>
        </w:tc>
        <w:tc>
          <w:tcPr>
            <w:tcW w:w="1880" w:type="dxa"/>
            <w:tcBorders>
              <w:top w:val="single" w:sz="4" w:space="0" w:color="auto"/>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3</w:t>
            </w:r>
          </w:p>
        </w:tc>
        <w:tc>
          <w:tcPr>
            <w:tcW w:w="1900" w:type="dxa"/>
            <w:tcBorders>
              <w:top w:val="single" w:sz="4" w:space="0" w:color="auto"/>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4</w:t>
            </w:r>
          </w:p>
        </w:tc>
        <w:tc>
          <w:tcPr>
            <w:tcW w:w="1900" w:type="dxa"/>
            <w:tcBorders>
              <w:top w:val="single" w:sz="4" w:space="0" w:color="auto"/>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5</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6=4х5</w:t>
            </w:r>
          </w:p>
        </w:tc>
      </w:tr>
      <w:tr w:rsidR="00CE6133" w:rsidRPr="00CE6133" w:rsidTr="00CE6133">
        <w:trPr>
          <w:trHeight w:val="240"/>
        </w:trPr>
        <w:tc>
          <w:tcPr>
            <w:tcW w:w="3544" w:type="dxa"/>
            <w:tcBorders>
              <w:top w:val="single" w:sz="4" w:space="0" w:color="auto"/>
              <w:left w:val="single" w:sz="4" w:space="0" w:color="auto"/>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20"/>
                <w:szCs w:val="20"/>
                <w:lang w:val="bg-BG" w:eastAsia="bg-BG"/>
              </w:rPr>
              <w:t xml:space="preserve">СОБСТВЕНИК: (име и фамилия), вх. …, ет. …, ап. …, </w:t>
            </w:r>
          </w:p>
        </w:tc>
        <w:tc>
          <w:tcPr>
            <w:tcW w:w="1880" w:type="dxa"/>
            <w:tcBorders>
              <w:top w:val="single" w:sz="4" w:space="0" w:color="auto"/>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c>
          <w:tcPr>
            <w:tcW w:w="1900" w:type="dxa"/>
            <w:tcBorders>
              <w:top w:val="single" w:sz="4" w:space="0" w:color="auto"/>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c>
          <w:tcPr>
            <w:tcW w:w="1900" w:type="dxa"/>
            <w:tcBorders>
              <w:top w:val="single" w:sz="4" w:space="0" w:color="auto"/>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c>
          <w:tcPr>
            <w:tcW w:w="1740" w:type="dxa"/>
            <w:tcBorders>
              <w:top w:val="single" w:sz="4" w:space="0" w:color="auto"/>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r>
      <w:tr w:rsidR="00CE6133" w:rsidRPr="00CE6133" w:rsidTr="00CE6133">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lastRenderedPageBreak/>
              <w:t>Разходи за подмяна на дограма по апартамент</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CE6133" w:rsidRPr="00CE6133" w:rsidRDefault="00CE6133" w:rsidP="00A30C49">
            <w:pPr>
              <w:spacing w:after="120" w:line="240" w:lineRule="auto"/>
              <w:rPr>
                <w:rFonts w:ascii="Times New Roman" w:eastAsia="Times New Roman" w:hAnsi="Times New Roman"/>
                <w:sz w:val="20"/>
                <w:szCs w:val="20"/>
                <w:lang w:val="bg-BG" w:eastAsia="bg-BG"/>
              </w:rPr>
            </w:pPr>
            <w:r w:rsidRPr="00CE6133">
              <w:rPr>
                <w:rFonts w:ascii="Times New Roman" w:eastAsia="Times New Roman" w:hAnsi="Times New Roman"/>
                <w:sz w:val="20"/>
                <w:szCs w:val="20"/>
                <w:lang w:val="bg-BG" w:eastAsia="bg-BG"/>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CE6133" w:rsidRPr="00CE6133" w:rsidRDefault="00CE6133" w:rsidP="00A30C49">
            <w:pPr>
              <w:spacing w:after="120" w:line="240" w:lineRule="auto"/>
              <w:rPr>
                <w:rFonts w:ascii="Times New Roman" w:eastAsia="Times New Roman" w:hAnsi="Times New Roman"/>
                <w:sz w:val="20"/>
                <w:szCs w:val="20"/>
                <w:lang w:val="bg-BG" w:eastAsia="bg-BG"/>
              </w:rPr>
            </w:pPr>
            <w:r w:rsidRPr="00CE6133">
              <w:rPr>
                <w:rFonts w:ascii="Times New Roman" w:eastAsia="Times New Roman" w:hAnsi="Times New Roman"/>
                <w:sz w:val="20"/>
                <w:szCs w:val="20"/>
                <w:lang w:val="bg-BG" w:eastAsia="bg-BG"/>
              </w:rPr>
              <w:t>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CE6133" w:rsidRPr="00CE6133" w:rsidRDefault="00CE6133" w:rsidP="00A30C49">
            <w:pPr>
              <w:spacing w:after="120" w:line="240" w:lineRule="auto"/>
              <w:rPr>
                <w:rFonts w:ascii="Times New Roman" w:eastAsia="Times New Roman" w:hAnsi="Times New Roman"/>
                <w:sz w:val="20"/>
                <w:szCs w:val="20"/>
                <w:lang w:val="bg-BG" w:eastAsia="bg-BG"/>
              </w:rPr>
            </w:pPr>
            <w:r w:rsidRPr="00CE6133">
              <w:rPr>
                <w:rFonts w:ascii="Times New Roman" w:eastAsia="Times New Roman" w:hAnsi="Times New Roman"/>
                <w:sz w:val="20"/>
                <w:szCs w:val="20"/>
                <w:lang w:val="bg-BG" w:eastAsia="bg-BG"/>
              </w:rPr>
              <w:t> </w:t>
            </w:r>
          </w:p>
        </w:tc>
      </w:tr>
      <w:tr w:rsidR="00CE6133" w:rsidRPr="00CE6133" w:rsidTr="00CE6133">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Дейности в СО</w:t>
            </w:r>
          </w:p>
        </w:tc>
        <w:tc>
          <w:tcPr>
            <w:tcW w:w="188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r>
      <w:tr w:rsidR="00CE6133" w:rsidRPr="00CE6133" w:rsidTr="00CE6133">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r>
      <w:tr w:rsidR="00CE6133" w:rsidRPr="00CE6133" w:rsidTr="00CE6133">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r>
      <w:tr w:rsidR="00CE6133" w:rsidRPr="00CE6133" w:rsidTr="00CE6133">
        <w:trPr>
          <w:trHeight w:val="540"/>
        </w:trPr>
        <w:tc>
          <w:tcPr>
            <w:tcW w:w="9224" w:type="dxa"/>
            <w:gridSpan w:val="4"/>
            <w:tcBorders>
              <w:top w:val="single" w:sz="4" w:space="0" w:color="auto"/>
              <w:left w:val="single" w:sz="4" w:space="0" w:color="auto"/>
              <w:bottom w:val="single" w:sz="4" w:space="0" w:color="auto"/>
              <w:right w:val="single" w:sz="4" w:space="0" w:color="auto"/>
            </w:tcBorders>
            <w:shd w:val="clear" w:color="000000" w:fill="CCFFCC"/>
            <w:vAlign w:val="center"/>
            <w:hideMark/>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lang w:val="bg-BG" w:eastAsia="bg-BG"/>
              </w:rPr>
              <w:t>Общ размер на разходите без вкл. ДДС:</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r>
      <w:tr w:rsidR="00CE6133" w:rsidRPr="00CE6133" w:rsidTr="00CE6133">
        <w:trPr>
          <w:trHeight w:val="540"/>
        </w:trPr>
        <w:tc>
          <w:tcPr>
            <w:tcW w:w="9224" w:type="dxa"/>
            <w:gridSpan w:val="4"/>
            <w:tcBorders>
              <w:top w:val="single" w:sz="4" w:space="0" w:color="auto"/>
              <w:left w:val="single" w:sz="4" w:space="0" w:color="auto"/>
              <w:bottom w:val="single" w:sz="4" w:space="0" w:color="auto"/>
              <w:right w:val="single" w:sz="4" w:space="0" w:color="auto"/>
            </w:tcBorders>
            <w:shd w:val="clear" w:color="000000" w:fill="CCFFCC"/>
            <w:vAlign w:val="center"/>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lang w:val="bg-BG" w:eastAsia="bg-BG"/>
              </w:rPr>
              <w:t>ДДС:</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r>
      <w:tr w:rsidR="00CE6133" w:rsidRPr="00CE6133" w:rsidTr="00CE6133">
        <w:trPr>
          <w:trHeight w:val="540"/>
        </w:trPr>
        <w:tc>
          <w:tcPr>
            <w:tcW w:w="9224" w:type="dxa"/>
            <w:gridSpan w:val="4"/>
            <w:tcBorders>
              <w:top w:val="single" w:sz="4" w:space="0" w:color="auto"/>
              <w:left w:val="single" w:sz="4" w:space="0" w:color="auto"/>
              <w:bottom w:val="single" w:sz="4" w:space="0" w:color="auto"/>
              <w:right w:val="single" w:sz="4" w:space="0" w:color="auto"/>
            </w:tcBorders>
            <w:shd w:val="clear" w:color="000000" w:fill="CCFFCC"/>
            <w:vAlign w:val="center"/>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lang w:val="bg-BG" w:eastAsia="bg-BG"/>
              </w:rPr>
              <w:t>ОБЩ РАЗМЕР НА РАЗХОДИТЕ С ВКЛ. ДДС</w:t>
            </w:r>
            <w:r w:rsidRPr="00CE6133">
              <w:rPr>
                <w:rFonts w:ascii="Times New Roman" w:eastAsia="Times New Roman" w:hAnsi="Times New Roman"/>
                <w:b/>
                <w:bCs/>
                <w:sz w:val="20"/>
                <w:szCs w:val="20"/>
                <w:lang w:val="bg-BG" w:eastAsia="bg-BG"/>
              </w:rPr>
              <w:t>:</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r>
    </w:tbl>
    <w:p w:rsidR="00CE6133" w:rsidRPr="00CE6133" w:rsidRDefault="00CE6133" w:rsidP="00CE6133">
      <w:pPr>
        <w:pStyle w:val="ListParagraph"/>
        <w:snapToGrid w:val="0"/>
        <w:spacing w:after="120"/>
        <w:ind w:left="0"/>
        <w:jc w:val="both"/>
        <w:rPr>
          <w:color w:val="000000" w:themeColor="text1"/>
          <w:lang w:val="bg-BG"/>
        </w:rPr>
      </w:pPr>
    </w:p>
    <w:p w:rsidR="00CE6133" w:rsidRPr="00CE6133" w:rsidRDefault="00CE6133" w:rsidP="00CE6133">
      <w:pPr>
        <w:pStyle w:val="ListParagraph"/>
        <w:numPr>
          <w:ilvl w:val="1"/>
          <w:numId w:val="22"/>
        </w:numPr>
        <w:snapToGrid w:val="0"/>
        <w:spacing w:after="120"/>
        <w:ind w:left="360"/>
        <w:jc w:val="both"/>
        <w:rPr>
          <w:b/>
          <w:color w:val="000000" w:themeColor="text1"/>
          <w:lang w:val="bg-BG"/>
        </w:rPr>
      </w:pPr>
      <w:r w:rsidRPr="00CE6133">
        <w:rPr>
          <w:b/>
          <w:color w:val="000000" w:themeColor="text1"/>
          <w:lang w:val="bg-BG"/>
        </w:rPr>
        <w:t xml:space="preserve"> Изчисляване на разходи за общите части</w:t>
      </w:r>
    </w:p>
    <w:tbl>
      <w:tblPr>
        <w:tblW w:w="10943" w:type="dxa"/>
        <w:tblInd w:w="-781" w:type="dxa"/>
        <w:tblCellMar>
          <w:left w:w="70" w:type="dxa"/>
          <w:right w:w="70" w:type="dxa"/>
        </w:tblCellMar>
        <w:tblLook w:val="04A0" w:firstRow="1" w:lastRow="0" w:firstColumn="1" w:lastColumn="0" w:noHBand="0" w:noVBand="1"/>
      </w:tblPr>
      <w:tblGrid>
        <w:gridCol w:w="3970"/>
        <w:gridCol w:w="2693"/>
        <w:gridCol w:w="1940"/>
        <w:gridCol w:w="2340"/>
      </w:tblGrid>
      <w:tr w:rsidR="00CE6133" w:rsidRPr="00CE6133" w:rsidTr="00CE6133">
        <w:trPr>
          <w:trHeight w:val="1800"/>
        </w:trPr>
        <w:tc>
          <w:tcPr>
            <w:tcW w:w="397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Разходи</w:t>
            </w:r>
          </w:p>
        </w:tc>
        <w:tc>
          <w:tcPr>
            <w:tcW w:w="2693" w:type="dxa"/>
            <w:vMerge w:val="restart"/>
            <w:tcBorders>
              <w:top w:val="single" w:sz="4" w:space="0" w:color="auto"/>
              <w:left w:val="nil"/>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 идеални части по справка за ССО, представен в абсолютна стойност</w:t>
            </w:r>
          </w:p>
        </w:tc>
        <w:tc>
          <w:tcPr>
            <w:tcW w:w="1940" w:type="dxa"/>
            <w:tcBorders>
              <w:top w:val="single" w:sz="4" w:space="0" w:color="auto"/>
              <w:left w:val="nil"/>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Обща стойност на дейността (ІI)</w:t>
            </w:r>
          </w:p>
        </w:tc>
        <w:tc>
          <w:tcPr>
            <w:tcW w:w="2340" w:type="dxa"/>
            <w:tcBorders>
              <w:top w:val="single" w:sz="4" w:space="0" w:color="auto"/>
              <w:left w:val="nil"/>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Стойност за ССО</w:t>
            </w:r>
          </w:p>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(І*ІІ)</w:t>
            </w:r>
          </w:p>
        </w:tc>
      </w:tr>
      <w:tr w:rsidR="00CE6133" w:rsidRPr="00CE6133" w:rsidTr="00CE6133">
        <w:trPr>
          <w:trHeight w:val="728"/>
        </w:trPr>
        <w:tc>
          <w:tcPr>
            <w:tcW w:w="3970" w:type="dxa"/>
            <w:vMerge/>
            <w:tcBorders>
              <w:top w:val="single" w:sz="4" w:space="0" w:color="auto"/>
              <w:left w:val="single" w:sz="4" w:space="0" w:color="auto"/>
              <w:bottom w:val="single" w:sz="4" w:space="0" w:color="000000"/>
              <w:right w:val="single" w:sz="4" w:space="0" w:color="auto"/>
            </w:tcBorders>
            <w:vAlign w:val="center"/>
            <w:hideMark/>
          </w:tcPr>
          <w:p w:rsidR="00CE6133" w:rsidRPr="00CE6133" w:rsidRDefault="00CE6133" w:rsidP="00A30C49">
            <w:pPr>
              <w:spacing w:after="120" w:line="240" w:lineRule="auto"/>
              <w:rPr>
                <w:rFonts w:ascii="Times New Roman" w:eastAsia="Times New Roman" w:hAnsi="Times New Roman"/>
                <w:b/>
                <w:bCs/>
                <w:lang w:val="bg-BG" w:eastAsia="bg-BG"/>
              </w:rPr>
            </w:pPr>
          </w:p>
        </w:tc>
        <w:tc>
          <w:tcPr>
            <w:tcW w:w="2693" w:type="dxa"/>
            <w:vMerge/>
            <w:tcBorders>
              <w:left w:val="single" w:sz="4" w:space="0" w:color="auto"/>
              <w:bottom w:val="single" w:sz="4" w:space="0" w:color="000000"/>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p>
        </w:tc>
        <w:tc>
          <w:tcPr>
            <w:tcW w:w="1940" w:type="dxa"/>
            <w:tcBorders>
              <w:top w:val="nil"/>
              <w:left w:val="single" w:sz="4" w:space="0" w:color="auto"/>
              <w:bottom w:val="single" w:sz="4" w:space="0" w:color="000000"/>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 xml:space="preserve">Разходи, лева </w:t>
            </w:r>
          </w:p>
        </w:tc>
        <w:tc>
          <w:tcPr>
            <w:tcW w:w="2340" w:type="dxa"/>
            <w:tcBorders>
              <w:top w:val="nil"/>
              <w:left w:val="single" w:sz="4" w:space="0" w:color="auto"/>
              <w:bottom w:val="single" w:sz="4" w:space="0" w:color="000000"/>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 xml:space="preserve">Разходи, лева </w:t>
            </w:r>
          </w:p>
        </w:tc>
      </w:tr>
      <w:tr w:rsidR="00CE6133" w:rsidRPr="00CE6133" w:rsidTr="00CE6133">
        <w:trPr>
          <w:trHeight w:val="375"/>
        </w:trPr>
        <w:tc>
          <w:tcPr>
            <w:tcW w:w="3970" w:type="dxa"/>
            <w:tcBorders>
              <w:top w:val="nil"/>
              <w:left w:val="single" w:sz="4" w:space="0" w:color="auto"/>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1</w:t>
            </w:r>
          </w:p>
        </w:tc>
        <w:tc>
          <w:tcPr>
            <w:tcW w:w="2693" w:type="dxa"/>
            <w:tcBorders>
              <w:top w:val="nil"/>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2</w:t>
            </w:r>
          </w:p>
        </w:tc>
        <w:tc>
          <w:tcPr>
            <w:tcW w:w="1940" w:type="dxa"/>
            <w:tcBorders>
              <w:top w:val="nil"/>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3</w:t>
            </w:r>
          </w:p>
        </w:tc>
        <w:tc>
          <w:tcPr>
            <w:tcW w:w="2340" w:type="dxa"/>
            <w:tcBorders>
              <w:top w:val="nil"/>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4=2*3</w:t>
            </w:r>
          </w:p>
        </w:tc>
      </w:tr>
      <w:tr w:rsidR="00CE6133" w:rsidRPr="00CE6133" w:rsidTr="00CE6133">
        <w:trPr>
          <w:trHeight w:val="375"/>
        </w:trPr>
        <w:tc>
          <w:tcPr>
            <w:tcW w:w="3970" w:type="dxa"/>
            <w:tcBorders>
              <w:top w:val="nil"/>
              <w:left w:val="single" w:sz="4" w:space="0" w:color="auto"/>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20"/>
                <w:szCs w:val="20"/>
                <w:lang w:val="bg-BG" w:eastAsia="bg-BG"/>
              </w:rPr>
              <w:t>СОБСТВЕНИК: (име и фамилия), вх. …, ет. …, ап. …,</w:t>
            </w:r>
          </w:p>
        </w:tc>
        <w:tc>
          <w:tcPr>
            <w:tcW w:w="2693" w:type="dxa"/>
            <w:tcBorders>
              <w:top w:val="nil"/>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p>
        </w:tc>
        <w:tc>
          <w:tcPr>
            <w:tcW w:w="1940" w:type="dxa"/>
            <w:tcBorders>
              <w:top w:val="nil"/>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p>
        </w:tc>
        <w:tc>
          <w:tcPr>
            <w:tcW w:w="2340" w:type="dxa"/>
            <w:tcBorders>
              <w:top w:val="nil"/>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p>
        </w:tc>
      </w:tr>
      <w:tr w:rsidR="00CE6133" w:rsidRPr="00CE6133" w:rsidTr="00CE6133">
        <w:trPr>
          <w:trHeight w:val="28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изготвяне на инвестиционен проект</w:t>
            </w:r>
          </w:p>
        </w:tc>
        <w:tc>
          <w:tcPr>
            <w:tcW w:w="2693"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 xml:space="preserve">Разходи за оценка за съответствието на проекта </w:t>
            </w:r>
          </w:p>
        </w:tc>
        <w:tc>
          <w:tcPr>
            <w:tcW w:w="2693"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300"/>
        </w:trPr>
        <w:tc>
          <w:tcPr>
            <w:tcW w:w="3970" w:type="dxa"/>
            <w:tcBorders>
              <w:top w:val="nil"/>
              <w:left w:val="single" w:sz="4" w:space="0" w:color="auto"/>
              <w:bottom w:val="single" w:sz="4" w:space="0" w:color="auto"/>
              <w:right w:val="single" w:sz="4" w:space="0" w:color="auto"/>
            </w:tcBorders>
            <w:shd w:val="clear" w:color="auto" w:fill="auto"/>
            <w:vAlign w:val="center"/>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строителни и монтажни работи (без включена дограма на самия СО и други дейности в СО)</w:t>
            </w:r>
          </w:p>
        </w:tc>
        <w:tc>
          <w:tcPr>
            <w:tcW w:w="2693"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300"/>
        </w:trPr>
        <w:tc>
          <w:tcPr>
            <w:tcW w:w="3970" w:type="dxa"/>
            <w:tcBorders>
              <w:top w:val="nil"/>
              <w:left w:val="single" w:sz="4" w:space="0" w:color="auto"/>
              <w:bottom w:val="single" w:sz="4" w:space="0" w:color="auto"/>
              <w:right w:val="single" w:sz="4" w:space="0" w:color="auto"/>
            </w:tcBorders>
            <w:shd w:val="clear" w:color="auto" w:fill="auto"/>
            <w:vAlign w:val="center"/>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Непредвидени разходи (10 % от стойността на разходите за СМР)</w:t>
            </w:r>
          </w:p>
        </w:tc>
        <w:tc>
          <w:tcPr>
            <w:tcW w:w="2693"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300"/>
        </w:trPr>
        <w:tc>
          <w:tcPr>
            <w:tcW w:w="3970" w:type="dxa"/>
            <w:tcBorders>
              <w:top w:val="nil"/>
              <w:left w:val="single" w:sz="4" w:space="0" w:color="auto"/>
              <w:bottom w:val="single" w:sz="4" w:space="0" w:color="auto"/>
              <w:right w:val="single" w:sz="4" w:space="0" w:color="auto"/>
            </w:tcBorders>
            <w:shd w:val="clear" w:color="auto" w:fill="auto"/>
            <w:vAlign w:val="center"/>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строителен надзор и инвеститорски контрол</w:t>
            </w:r>
          </w:p>
        </w:tc>
        <w:tc>
          <w:tcPr>
            <w:tcW w:w="2693"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28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авторски надзор</w:t>
            </w:r>
          </w:p>
        </w:tc>
        <w:tc>
          <w:tcPr>
            <w:tcW w:w="2693"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8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свързани с набавянето на необходими разрешителни документи, изискващи се от националното законодателство, включително и свързаните с тях такси, дължими на съответните компетентни органи</w:t>
            </w:r>
          </w:p>
        </w:tc>
        <w:tc>
          <w:tcPr>
            <w:tcW w:w="2693"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28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свързани с въвеждането на обекта в експлоатация</w:t>
            </w:r>
          </w:p>
        </w:tc>
        <w:tc>
          <w:tcPr>
            <w:tcW w:w="2693"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28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lastRenderedPageBreak/>
              <w:t>Разходи за обследване за енергийна ефективност</w:t>
            </w:r>
          </w:p>
        </w:tc>
        <w:tc>
          <w:tcPr>
            <w:tcW w:w="2693"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6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обследване за установяване на техническите характеристики и технически паспорт</w:t>
            </w:r>
          </w:p>
        </w:tc>
        <w:tc>
          <w:tcPr>
            <w:tcW w:w="2693"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300"/>
        </w:trPr>
        <w:tc>
          <w:tcPr>
            <w:tcW w:w="3970" w:type="dxa"/>
            <w:tcBorders>
              <w:top w:val="single" w:sz="4" w:space="0" w:color="auto"/>
              <w:left w:val="single" w:sz="4" w:space="0" w:color="auto"/>
              <w:bottom w:val="single" w:sz="4" w:space="0" w:color="auto"/>
              <w:right w:val="nil"/>
            </w:tcBorders>
            <w:shd w:val="clear" w:color="000000" w:fill="FFFF99"/>
            <w:noWrap/>
            <w:vAlign w:val="center"/>
            <w:hideMark/>
          </w:tcPr>
          <w:p w:rsidR="00CE6133" w:rsidRPr="00CE6133" w:rsidRDefault="00CE6133" w:rsidP="00A30C49">
            <w:pPr>
              <w:spacing w:after="120" w:line="240" w:lineRule="auto"/>
              <w:rPr>
                <w:rFonts w:ascii="Times New Roman" w:eastAsia="Times New Roman" w:hAnsi="Times New Roman"/>
                <w:b/>
                <w:bCs/>
                <w:lang w:val="bg-BG" w:eastAsia="bg-BG"/>
              </w:rPr>
            </w:pPr>
            <w:r w:rsidRPr="00CE6133">
              <w:rPr>
                <w:rFonts w:ascii="Times New Roman" w:eastAsia="Times New Roman" w:hAnsi="Times New Roman"/>
                <w:b/>
                <w:bCs/>
                <w:lang w:val="bg-BG" w:eastAsia="bg-BG"/>
              </w:rPr>
              <w:t>І. Общ размер на разходите без вкл. ДДС</w:t>
            </w:r>
          </w:p>
        </w:tc>
        <w:tc>
          <w:tcPr>
            <w:tcW w:w="2693" w:type="dxa"/>
            <w:tcBorders>
              <w:top w:val="single" w:sz="4" w:space="0" w:color="auto"/>
              <w:left w:val="single" w:sz="4" w:space="0" w:color="auto"/>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1940"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2340"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r>
      <w:tr w:rsidR="00CE6133" w:rsidRPr="00CE6133" w:rsidTr="00CE6133">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E6133" w:rsidRPr="00CE6133" w:rsidRDefault="00CE6133" w:rsidP="00A30C49">
            <w:pPr>
              <w:spacing w:after="120" w:line="240" w:lineRule="auto"/>
              <w:rPr>
                <w:rFonts w:ascii="Times New Roman" w:eastAsia="Times New Roman" w:hAnsi="Times New Roman"/>
                <w:b/>
                <w:bCs/>
                <w:lang w:val="bg-BG" w:eastAsia="bg-BG"/>
              </w:rPr>
            </w:pPr>
            <w:r w:rsidRPr="00CE6133">
              <w:rPr>
                <w:rFonts w:ascii="Times New Roman" w:eastAsia="Times New Roman" w:hAnsi="Times New Roman"/>
                <w:b/>
                <w:bCs/>
                <w:lang w:val="bg-BG" w:eastAsia="bg-BG"/>
              </w:rPr>
              <w:t>ІІ. ДДС</w:t>
            </w:r>
          </w:p>
        </w:tc>
        <w:tc>
          <w:tcPr>
            <w:tcW w:w="2693"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1940"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2340"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r>
      <w:tr w:rsidR="00CE6133" w:rsidRPr="00CE6133" w:rsidTr="00CE6133">
        <w:trPr>
          <w:trHeight w:val="300"/>
        </w:trPr>
        <w:tc>
          <w:tcPr>
            <w:tcW w:w="3970" w:type="dxa"/>
            <w:tcBorders>
              <w:top w:val="single" w:sz="4" w:space="0" w:color="auto"/>
              <w:left w:val="single" w:sz="4" w:space="0" w:color="auto"/>
              <w:bottom w:val="single" w:sz="4" w:space="0" w:color="auto"/>
              <w:right w:val="nil"/>
            </w:tcBorders>
            <w:shd w:val="clear" w:color="000000" w:fill="FFFF99"/>
            <w:noWrap/>
            <w:vAlign w:val="center"/>
            <w:hideMark/>
          </w:tcPr>
          <w:p w:rsidR="00CE6133" w:rsidRPr="00CE6133" w:rsidRDefault="00CE6133" w:rsidP="00A30C49">
            <w:pPr>
              <w:spacing w:after="120" w:line="240" w:lineRule="auto"/>
              <w:rPr>
                <w:rFonts w:ascii="Times New Roman" w:eastAsia="Times New Roman" w:hAnsi="Times New Roman"/>
                <w:b/>
                <w:bCs/>
                <w:lang w:val="bg-BG" w:eastAsia="bg-BG"/>
              </w:rPr>
            </w:pPr>
            <w:r w:rsidRPr="00CE6133">
              <w:rPr>
                <w:rFonts w:ascii="Times New Roman" w:eastAsia="Times New Roman" w:hAnsi="Times New Roman"/>
                <w:b/>
                <w:bCs/>
                <w:lang w:val="bg-BG" w:eastAsia="bg-BG"/>
              </w:rPr>
              <w:t>ОБЩ РАЗМЕР НА РАЗХОДИТЕ С ВКЛ. ДДС</w:t>
            </w:r>
          </w:p>
        </w:tc>
        <w:tc>
          <w:tcPr>
            <w:tcW w:w="2693" w:type="dxa"/>
            <w:tcBorders>
              <w:top w:val="single" w:sz="4" w:space="0" w:color="auto"/>
              <w:left w:val="single" w:sz="4" w:space="0" w:color="auto"/>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1940"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2340"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r>
    </w:tbl>
    <w:p w:rsidR="00CE6133" w:rsidRPr="00CE6133" w:rsidRDefault="00CE6133" w:rsidP="00CE6133">
      <w:pPr>
        <w:spacing w:after="120" w:line="240" w:lineRule="auto"/>
        <w:rPr>
          <w:lang w:val="bg-BG"/>
        </w:rPr>
      </w:pPr>
    </w:p>
    <w:p w:rsidR="00CE6133" w:rsidRPr="00CE6133" w:rsidRDefault="00CE6133" w:rsidP="00CE6133">
      <w:pPr>
        <w:pStyle w:val="ListParagraph"/>
        <w:numPr>
          <w:ilvl w:val="0"/>
          <w:numId w:val="22"/>
        </w:numPr>
        <w:snapToGrid w:val="0"/>
        <w:spacing w:after="120"/>
        <w:ind w:left="360"/>
        <w:jc w:val="both"/>
        <w:rPr>
          <w:b/>
          <w:color w:val="000000" w:themeColor="text1"/>
          <w:lang w:val="bg-BG"/>
        </w:rPr>
      </w:pPr>
      <w:r w:rsidRPr="00CE6133">
        <w:rPr>
          <w:b/>
          <w:color w:val="000000" w:themeColor="text1"/>
          <w:lang w:val="bg-BG"/>
        </w:rPr>
        <w:t>РЕД ЗА ИЗЧИСЛЯВАНЕ НА РАЗХОДИТЕ, ПРИЛОЖИМ КЪМ КОМПОНЕНТ II</w:t>
      </w:r>
    </w:p>
    <w:p w:rsidR="00CE6133" w:rsidRPr="00CE6133" w:rsidRDefault="00CE6133" w:rsidP="00CE6133">
      <w:pPr>
        <w:pStyle w:val="ListParagraph"/>
        <w:spacing w:after="120"/>
        <w:rPr>
          <w:color w:val="000000" w:themeColor="text1"/>
          <w:lang w:val="bg-BG"/>
        </w:rPr>
      </w:pPr>
      <w:r w:rsidRPr="00CE6133">
        <w:rPr>
          <w:color w:val="000000" w:themeColor="text1"/>
          <w:lang w:val="bg-BG"/>
        </w:rPr>
        <w:t>При изчисления на разходите за собственика следва да се спазва следния ред:</w:t>
      </w:r>
    </w:p>
    <w:p w:rsidR="00CE6133" w:rsidRPr="00CE6133" w:rsidRDefault="00CE6133" w:rsidP="00CE6133">
      <w:pPr>
        <w:pStyle w:val="ListParagraph"/>
        <w:numPr>
          <w:ilvl w:val="1"/>
          <w:numId w:val="22"/>
        </w:numPr>
        <w:snapToGrid w:val="0"/>
        <w:spacing w:after="120"/>
        <w:ind w:left="360"/>
        <w:jc w:val="both"/>
        <w:rPr>
          <w:b/>
          <w:color w:val="000000" w:themeColor="text1"/>
          <w:lang w:val="bg-BG"/>
        </w:rPr>
      </w:pPr>
      <w:r w:rsidRPr="00CE6133">
        <w:rPr>
          <w:b/>
          <w:color w:val="000000" w:themeColor="text1"/>
          <w:lang w:val="bg-BG"/>
        </w:rPr>
        <w:t xml:space="preserve"> Изчисляване на разходи за самостоятелния обект – подмяна на дограма и дейности в СО, когато това е приложимо.</w:t>
      </w:r>
    </w:p>
    <w:tbl>
      <w:tblPr>
        <w:tblW w:w="11120" w:type="dxa"/>
        <w:tblInd w:w="-781" w:type="dxa"/>
        <w:tblCellMar>
          <w:left w:w="70" w:type="dxa"/>
          <w:right w:w="70" w:type="dxa"/>
        </w:tblCellMar>
        <w:tblLook w:val="04A0" w:firstRow="1" w:lastRow="0" w:firstColumn="1" w:lastColumn="0" w:noHBand="0" w:noVBand="1"/>
      </w:tblPr>
      <w:tblGrid>
        <w:gridCol w:w="3740"/>
        <w:gridCol w:w="1880"/>
        <w:gridCol w:w="1900"/>
        <w:gridCol w:w="1860"/>
        <w:gridCol w:w="1740"/>
      </w:tblGrid>
      <w:tr w:rsidR="00CE6133" w:rsidRPr="00CE6133" w:rsidTr="00CE6133">
        <w:trPr>
          <w:trHeight w:val="885"/>
        </w:trPr>
        <w:tc>
          <w:tcPr>
            <w:tcW w:w="374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Разходи</w:t>
            </w:r>
          </w:p>
        </w:tc>
        <w:tc>
          <w:tcPr>
            <w:tcW w:w="1880" w:type="dxa"/>
            <w:tcBorders>
              <w:top w:val="single" w:sz="4" w:space="0" w:color="auto"/>
              <w:left w:val="nil"/>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Единица мярка</w:t>
            </w:r>
          </w:p>
        </w:tc>
        <w:tc>
          <w:tcPr>
            <w:tcW w:w="1900" w:type="dxa"/>
            <w:tcBorders>
              <w:top w:val="single" w:sz="4" w:space="0" w:color="auto"/>
              <w:left w:val="nil"/>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Количество</w:t>
            </w:r>
          </w:p>
        </w:tc>
        <w:tc>
          <w:tcPr>
            <w:tcW w:w="1860" w:type="dxa"/>
            <w:tcBorders>
              <w:top w:val="single" w:sz="4" w:space="0" w:color="auto"/>
              <w:left w:val="nil"/>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Единична цена в лв. (без вкл. ДДС)</w:t>
            </w:r>
          </w:p>
        </w:tc>
        <w:tc>
          <w:tcPr>
            <w:tcW w:w="1740" w:type="dxa"/>
            <w:tcBorders>
              <w:top w:val="single" w:sz="4" w:space="0" w:color="auto"/>
              <w:left w:val="nil"/>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Обща цена в лв. (без вкл. ДДС)</w:t>
            </w:r>
          </w:p>
        </w:tc>
      </w:tr>
      <w:tr w:rsidR="00CE6133" w:rsidRPr="00CE6133" w:rsidTr="00CE6133">
        <w:trPr>
          <w:trHeight w:val="240"/>
        </w:trPr>
        <w:tc>
          <w:tcPr>
            <w:tcW w:w="3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2</w:t>
            </w:r>
          </w:p>
        </w:tc>
        <w:tc>
          <w:tcPr>
            <w:tcW w:w="1880" w:type="dxa"/>
            <w:tcBorders>
              <w:top w:val="single" w:sz="4" w:space="0" w:color="auto"/>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3</w:t>
            </w:r>
          </w:p>
        </w:tc>
        <w:tc>
          <w:tcPr>
            <w:tcW w:w="1900" w:type="dxa"/>
            <w:tcBorders>
              <w:top w:val="single" w:sz="4" w:space="0" w:color="auto"/>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4</w:t>
            </w:r>
          </w:p>
        </w:tc>
        <w:tc>
          <w:tcPr>
            <w:tcW w:w="1860" w:type="dxa"/>
            <w:tcBorders>
              <w:top w:val="single" w:sz="4" w:space="0" w:color="auto"/>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5</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6=4х5</w:t>
            </w:r>
          </w:p>
        </w:tc>
      </w:tr>
      <w:tr w:rsidR="00CE6133" w:rsidRPr="00CE6133" w:rsidTr="00CE6133">
        <w:trPr>
          <w:trHeight w:val="240"/>
        </w:trPr>
        <w:tc>
          <w:tcPr>
            <w:tcW w:w="3740" w:type="dxa"/>
            <w:tcBorders>
              <w:top w:val="single" w:sz="4" w:space="0" w:color="auto"/>
              <w:left w:val="single" w:sz="4" w:space="0" w:color="auto"/>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20"/>
                <w:szCs w:val="20"/>
                <w:lang w:val="bg-BG" w:eastAsia="bg-BG"/>
              </w:rPr>
              <w:t xml:space="preserve">СОБСТВЕНИК: (име и фамилия), вх. …, ет. …, ап. …, </w:t>
            </w:r>
          </w:p>
        </w:tc>
        <w:tc>
          <w:tcPr>
            <w:tcW w:w="1880" w:type="dxa"/>
            <w:tcBorders>
              <w:top w:val="single" w:sz="4" w:space="0" w:color="auto"/>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c>
          <w:tcPr>
            <w:tcW w:w="1900" w:type="dxa"/>
            <w:tcBorders>
              <w:top w:val="single" w:sz="4" w:space="0" w:color="auto"/>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c>
          <w:tcPr>
            <w:tcW w:w="1860" w:type="dxa"/>
            <w:tcBorders>
              <w:top w:val="single" w:sz="4" w:space="0" w:color="auto"/>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c>
          <w:tcPr>
            <w:tcW w:w="1740" w:type="dxa"/>
            <w:tcBorders>
              <w:top w:val="single" w:sz="4" w:space="0" w:color="auto"/>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r>
      <w:tr w:rsidR="00CE6133" w:rsidRPr="00CE6133" w:rsidTr="00CE6133">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Разходи за подмяна на дограма по апартамент</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CE6133" w:rsidRPr="00CE6133" w:rsidRDefault="00CE6133" w:rsidP="00A30C49">
            <w:pPr>
              <w:spacing w:after="120" w:line="240" w:lineRule="auto"/>
              <w:rPr>
                <w:rFonts w:ascii="Times New Roman" w:eastAsia="Times New Roman" w:hAnsi="Times New Roman"/>
                <w:sz w:val="20"/>
                <w:szCs w:val="20"/>
                <w:lang w:val="bg-BG" w:eastAsia="bg-BG"/>
              </w:rPr>
            </w:pPr>
            <w:r w:rsidRPr="00CE6133">
              <w:rPr>
                <w:rFonts w:ascii="Times New Roman" w:eastAsia="Times New Roman" w:hAnsi="Times New Roman"/>
                <w:sz w:val="20"/>
                <w:szCs w:val="20"/>
                <w:lang w:val="bg-BG" w:eastAsia="bg-BG"/>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CE6133" w:rsidRPr="00CE6133" w:rsidRDefault="00CE6133" w:rsidP="00A30C49">
            <w:pPr>
              <w:spacing w:after="120" w:line="240" w:lineRule="auto"/>
              <w:rPr>
                <w:rFonts w:ascii="Times New Roman" w:eastAsia="Times New Roman" w:hAnsi="Times New Roman"/>
                <w:sz w:val="20"/>
                <w:szCs w:val="20"/>
                <w:lang w:val="bg-BG" w:eastAsia="bg-BG"/>
              </w:rPr>
            </w:pPr>
            <w:r w:rsidRPr="00CE6133">
              <w:rPr>
                <w:rFonts w:ascii="Times New Roman" w:eastAsia="Times New Roman" w:hAnsi="Times New Roman"/>
                <w:sz w:val="20"/>
                <w:szCs w:val="20"/>
                <w:lang w:val="bg-BG" w:eastAsia="bg-BG"/>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CE6133" w:rsidRPr="00CE6133" w:rsidRDefault="00CE6133" w:rsidP="00A30C49">
            <w:pPr>
              <w:spacing w:after="120" w:line="240" w:lineRule="auto"/>
              <w:rPr>
                <w:rFonts w:ascii="Times New Roman" w:eastAsia="Times New Roman" w:hAnsi="Times New Roman"/>
                <w:sz w:val="20"/>
                <w:szCs w:val="20"/>
                <w:lang w:val="bg-BG" w:eastAsia="bg-BG"/>
              </w:rPr>
            </w:pPr>
            <w:r w:rsidRPr="00CE6133">
              <w:rPr>
                <w:rFonts w:ascii="Times New Roman" w:eastAsia="Times New Roman" w:hAnsi="Times New Roman"/>
                <w:sz w:val="20"/>
                <w:szCs w:val="20"/>
                <w:lang w:val="bg-BG" w:eastAsia="bg-BG"/>
              </w:rPr>
              <w:t> </w:t>
            </w:r>
          </w:p>
        </w:tc>
      </w:tr>
      <w:tr w:rsidR="00CE6133" w:rsidRPr="00CE6133" w:rsidTr="00CE6133">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Дейности в СО</w:t>
            </w:r>
          </w:p>
        </w:tc>
        <w:tc>
          <w:tcPr>
            <w:tcW w:w="188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860" w:type="dxa"/>
            <w:tcBorders>
              <w:top w:val="single" w:sz="4" w:space="0" w:color="auto"/>
              <w:left w:val="nil"/>
              <w:bottom w:val="single" w:sz="4" w:space="0" w:color="auto"/>
              <w:right w:val="single" w:sz="4" w:space="0" w:color="auto"/>
            </w:tcBorders>
            <w:shd w:val="clear" w:color="auto" w:fill="auto"/>
            <w:vAlign w:val="center"/>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r>
      <w:tr w:rsidR="00CE6133" w:rsidRPr="00CE6133" w:rsidTr="00CE6133">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860" w:type="dxa"/>
            <w:tcBorders>
              <w:top w:val="single" w:sz="4" w:space="0" w:color="auto"/>
              <w:left w:val="nil"/>
              <w:bottom w:val="single" w:sz="4" w:space="0" w:color="auto"/>
              <w:right w:val="single" w:sz="4" w:space="0" w:color="auto"/>
            </w:tcBorders>
            <w:shd w:val="clear" w:color="auto" w:fill="auto"/>
            <w:vAlign w:val="center"/>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r>
      <w:tr w:rsidR="00CE6133" w:rsidRPr="00CE6133" w:rsidTr="00CE6133">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860" w:type="dxa"/>
            <w:tcBorders>
              <w:top w:val="single" w:sz="4" w:space="0" w:color="auto"/>
              <w:left w:val="nil"/>
              <w:bottom w:val="single" w:sz="4" w:space="0" w:color="auto"/>
              <w:right w:val="single" w:sz="4" w:space="0" w:color="auto"/>
            </w:tcBorders>
            <w:shd w:val="clear" w:color="auto" w:fill="auto"/>
            <w:vAlign w:val="center"/>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CE6133" w:rsidRPr="00CE6133" w:rsidRDefault="00CE6133" w:rsidP="00A30C49">
            <w:pPr>
              <w:spacing w:after="120" w:line="240" w:lineRule="auto"/>
              <w:rPr>
                <w:rFonts w:ascii="Times New Roman" w:eastAsia="Times New Roman" w:hAnsi="Times New Roman"/>
                <w:sz w:val="20"/>
                <w:szCs w:val="20"/>
                <w:lang w:val="bg-BG" w:eastAsia="bg-BG"/>
              </w:rPr>
            </w:pPr>
          </w:p>
        </w:tc>
      </w:tr>
      <w:tr w:rsidR="00CE6133" w:rsidRPr="00CE6133" w:rsidTr="00CE6133">
        <w:trPr>
          <w:trHeight w:val="540"/>
        </w:trPr>
        <w:tc>
          <w:tcPr>
            <w:tcW w:w="9380" w:type="dxa"/>
            <w:gridSpan w:val="4"/>
            <w:tcBorders>
              <w:top w:val="single" w:sz="4" w:space="0" w:color="auto"/>
              <w:left w:val="single" w:sz="4" w:space="0" w:color="auto"/>
              <w:bottom w:val="single" w:sz="4" w:space="0" w:color="auto"/>
              <w:right w:val="single" w:sz="4" w:space="0" w:color="auto"/>
            </w:tcBorders>
            <w:shd w:val="clear" w:color="000000" w:fill="CCFFCC"/>
            <w:vAlign w:val="center"/>
            <w:hideMark/>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lang w:val="bg-BG" w:eastAsia="bg-BG"/>
              </w:rPr>
              <w:t>Общ размер на разходите без вкл. ДДС:</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r>
      <w:tr w:rsidR="00CE6133" w:rsidRPr="00CE6133" w:rsidTr="00CE6133">
        <w:trPr>
          <w:trHeight w:val="540"/>
        </w:trPr>
        <w:tc>
          <w:tcPr>
            <w:tcW w:w="9380" w:type="dxa"/>
            <w:gridSpan w:val="4"/>
            <w:tcBorders>
              <w:top w:val="single" w:sz="4" w:space="0" w:color="auto"/>
              <w:left w:val="single" w:sz="4" w:space="0" w:color="auto"/>
              <w:bottom w:val="single" w:sz="4" w:space="0" w:color="auto"/>
              <w:right w:val="single" w:sz="4" w:space="0" w:color="auto"/>
            </w:tcBorders>
            <w:shd w:val="clear" w:color="000000" w:fill="CCFFCC"/>
            <w:vAlign w:val="center"/>
            <w:hideMark/>
          </w:tcPr>
          <w:p w:rsidR="00CE6133" w:rsidRPr="00CE6133" w:rsidRDefault="00CE6133" w:rsidP="00A30C49">
            <w:pPr>
              <w:spacing w:after="120" w:line="240" w:lineRule="auto"/>
              <w:jc w:val="right"/>
              <w:rPr>
                <w:rFonts w:ascii="Times New Roman" w:eastAsia="Times New Roman" w:hAnsi="Times New Roman"/>
                <w:b/>
                <w:bCs/>
                <w:lang w:val="bg-BG" w:eastAsia="bg-BG"/>
              </w:rPr>
            </w:pPr>
            <w:r w:rsidRPr="00CE6133">
              <w:rPr>
                <w:rFonts w:ascii="Times New Roman" w:eastAsia="Times New Roman" w:hAnsi="Times New Roman"/>
                <w:b/>
                <w:bCs/>
                <w:lang w:val="bg-BG" w:eastAsia="bg-BG"/>
              </w:rPr>
              <w:t>ДДС:</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r>
      <w:tr w:rsidR="00CE6133" w:rsidRPr="00CE6133" w:rsidTr="00CE6133">
        <w:trPr>
          <w:trHeight w:val="540"/>
        </w:trPr>
        <w:tc>
          <w:tcPr>
            <w:tcW w:w="9380" w:type="dxa"/>
            <w:gridSpan w:val="4"/>
            <w:tcBorders>
              <w:top w:val="single" w:sz="4" w:space="0" w:color="auto"/>
              <w:left w:val="single" w:sz="4" w:space="0" w:color="auto"/>
              <w:bottom w:val="single" w:sz="4" w:space="0" w:color="auto"/>
              <w:right w:val="single" w:sz="4" w:space="0" w:color="auto"/>
            </w:tcBorders>
            <w:shd w:val="clear" w:color="000000" w:fill="CCFFCC"/>
            <w:vAlign w:val="center"/>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lang w:val="bg-BG" w:eastAsia="bg-BG"/>
              </w:rPr>
              <w:t>ОБЩ РАЗМЕР НА РАЗХОДИТЕ С ВКЛ. ДДС</w:t>
            </w:r>
            <w:r w:rsidRPr="00CE6133">
              <w:rPr>
                <w:rFonts w:ascii="Times New Roman" w:eastAsia="Times New Roman" w:hAnsi="Times New Roman"/>
                <w:b/>
                <w:bCs/>
                <w:sz w:val="20"/>
                <w:szCs w:val="20"/>
                <w:lang w:val="bg-BG" w:eastAsia="bg-BG"/>
              </w:rPr>
              <w:t>:</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r>
    </w:tbl>
    <w:p w:rsidR="00CE6133" w:rsidRPr="00CE6133" w:rsidRDefault="00CE6133" w:rsidP="00CE6133">
      <w:pPr>
        <w:spacing w:after="120" w:line="240" w:lineRule="auto"/>
        <w:rPr>
          <w:lang w:val="bg-BG"/>
        </w:rPr>
      </w:pPr>
    </w:p>
    <w:p w:rsidR="00CE6133" w:rsidRPr="00CE6133" w:rsidRDefault="00CE6133" w:rsidP="00CE6133">
      <w:pPr>
        <w:pStyle w:val="ListParagraph"/>
        <w:numPr>
          <w:ilvl w:val="1"/>
          <w:numId w:val="22"/>
        </w:numPr>
        <w:snapToGrid w:val="0"/>
        <w:spacing w:after="120"/>
        <w:ind w:left="360"/>
        <w:jc w:val="both"/>
        <w:rPr>
          <w:b/>
          <w:color w:val="000000" w:themeColor="text1"/>
          <w:lang w:val="bg-BG"/>
        </w:rPr>
      </w:pPr>
      <w:r w:rsidRPr="00CE6133">
        <w:rPr>
          <w:b/>
          <w:color w:val="000000" w:themeColor="text1"/>
          <w:lang w:val="bg-BG"/>
        </w:rPr>
        <w:t xml:space="preserve"> Изчисляване на разходи за общите части</w:t>
      </w:r>
    </w:p>
    <w:tbl>
      <w:tblPr>
        <w:tblW w:w="10522" w:type="dxa"/>
        <w:tblInd w:w="-781" w:type="dxa"/>
        <w:tblCellMar>
          <w:left w:w="70" w:type="dxa"/>
          <w:right w:w="70" w:type="dxa"/>
        </w:tblCellMar>
        <w:tblLook w:val="04A0" w:firstRow="1" w:lastRow="0" w:firstColumn="1" w:lastColumn="0" w:noHBand="0" w:noVBand="1"/>
      </w:tblPr>
      <w:tblGrid>
        <w:gridCol w:w="3833"/>
        <w:gridCol w:w="2409"/>
        <w:gridCol w:w="1940"/>
        <w:gridCol w:w="2340"/>
      </w:tblGrid>
      <w:tr w:rsidR="00CE6133" w:rsidRPr="00CE6133" w:rsidTr="00CE6133">
        <w:trPr>
          <w:trHeight w:val="1800"/>
        </w:trPr>
        <w:tc>
          <w:tcPr>
            <w:tcW w:w="3833"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Разходи</w:t>
            </w:r>
          </w:p>
        </w:tc>
        <w:tc>
          <w:tcPr>
            <w:tcW w:w="2409" w:type="dxa"/>
            <w:vMerge w:val="restart"/>
            <w:tcBorders>
              <w:top w:val="single" w:sz="4" w:space="0" w:color="auto"/>
              <w:left w:val="nil"/>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 идеални части по справка за ССО, представен в абсолютна стойност</w:t>
            </w:r>
          </w:p>
        </w:tc>
        <w:tc>
          <w:tcPr>
            <w:tcW w:w="1940" w:type="dxa"/>
            <w:tcBorders>
              <w:top w:val="single" w:sz="4" w:space="0" w:color="auto"/>
              <w:left w:val="nil"/>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Обща стойност на дейността (ІI)</w:t>
            </w:r>
          </w:p>
        </w:tc>
        <w:tc>
          <w:tcPr>
            <w:tcW w:w="2340" w:type="dxa"/>
            <w:tcBorders>
              <w:top w:val="single" w:sz="4" w:space="0" w:color="auto"/>
              <w:left w:val="nil"/>
              <w:bottom w:val="single" w:sz="4" w:space="0" w:color="auto"/>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Стойност за ССО</w:t>
            </w:r>
          </w:p>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(І*ІІ)</w:t>
            </w:r>
          </w:p>
        </w:tc>
      </w:tr>
      <w:tr w:rsidR="00CE6133" w:rsidRPr="00CE6133" w:rsidTr="00CE6133">
        <w:trPr>
          <w:trHeight w:val="728"/>
        </w:trPr>
        <w:tc>
          <w:tcPr>
            <w:tcW w:w="3833" w:type="dxa"/>
            <w:vMerge/>
            <w:tcBorders>
              <w:top w:val="single" w:sz="4" w:space="0" w:color="auto"/>
              <w:left w:val="single" w:sz="4" w:space="0" w:color="auto"/>
              <w:bottom w:val="single" w:sz="4" w:space="0" w:color="000000"/>
              <w:right w:val="single" w:sz="4" w:space="0" w:color="auto"/>
            </w:tcBorders>
            <w:vAlign w:val="center"/>
            <w:hideMark/>
          </w:tcPr>
          <w:p w:rsidR="00CE6133" w:rsidRPr="00CE6133" w:rsidRDefault="00CE6133" w:rsidP="00A30C49">
            <w:pPr>
              <w:spacing w:after="120" w:line="240" w:lineRule="auto"/>
              <w:rPr>
                <w:rFonts w:ascii="Times New Roman" w:eastAsia="Times New Roman" w:hAnsi="Times New Roman"/>
                <w:b/>
                <w:bCs/>
                <w:lang w:val="bg-BG" w:eastAsia="bg-BG"/>
              </w:rPr>
            </w:pPr>
          </w:p>
        </w:tc>
        <w:tc>
          <w:tcPr>
            <w:tcW w:w="2409" w:type="dxa"/>
            <w:vMerge/>
            <w:tcBorders>
              <w:left w:val="single" w:sz="4" w:space="0" w:color="auto"/>
              <w:bottom w:val="single" w:sz="4" w:space="0" w:color="000000"/>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p>
        </w:tc>
        <w:tc>
          <w:tcPr>
            <w:tcW w:w="1940" w:type="dxa"/>
            <w:tcBorders>
              <w:top w:val="nil"/>
              <w:left w:val="single" w:sz="4" w:space="0" w:color="auto"/>
              <w:bottom w:val="single" w:sz="4" w:space="0" w:color="000000"/>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 xml:space="preserve">Разходи, лева </w:t>
            </w:r>
          </w:p>
        </w:tc>
        <w:tc>
          <w:tcPr>
            <w:tcW w:w="2340" w:type="dxa"/>
            <w:tcBorders>
              <w:top w:val="nil"/>
              <w:left w:val="single" w:sz="4" w:space="0" w:color="auto"/>
              <w:bottom w:val="single" w:sz="4" w:space="0" w:color="000000"/>
              <w:right w:val="single" w:sz="4" w:space="0" w:color="auto"/>
            </w:tcBorders>
            <w:shd w:val="clear" w:color="000000" w:fill="C0C0C0"/>
            <w:vAlign w:val="center"/>
            <w:hideMark/>
          </w:tcPr>
          <w:p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 xml:space="preserve">Разходи, лева </w:t>
            </w:r>
          </w:p>
        </w:tc>
      </w:tr>
      <w:tr w:rsidR="00CE6133" w:rsidRPr="00CE6133" w:rsidTr="00CE6133">
        <w:trPr>
          <w:trHeight w:val="375"/>
        </w:trPr>
        <w:tc>
          <w:tcPr>
            <w:tcW w:w="3833" w:type="dxa"/>
            <w:tcBorders>
              <w:top w:val="nil"/>
              <w:left w:val="single" w:sz="4" w:space="0" w:color="auto"/>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lastRenderedPageBreak/>
              <w:t>1</w:t>
            </w:r>
          </w:p>
        </w:tc>
        <w:tc>
          <w:tcPr>
            <w:tcW w:w="2409" w:type="dxa"/>
            <w:tcBorders>
              <w:top w:val="nil"/>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2</w:t>
            </w:r>
          </w:p>
        </w:tc>
        <w:tc>
          <w:tcPr>
            <w:tcW w:w="1940" w:type="dxa"/>
            <w:tcBorders>
              <w:top w:val="nil"/>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3</w:t>
            </w:r>
          </w:p>
        </w:tc>
        <w:tc>
          <w:tcPr>
            <w:tcW w:w="2340" w:type="dxa"/>
            <w:tcBorders>
              <w:top w:val="nil"/>
              <w:left w:val="nil"/>
              <w:bottom w:val="single" w:sz="4" w:space="0" w:color="auto"/>
              <w:right w:val="single" w:sz="4" w:space="0" w:color="auto"/>
            </w:tcBorders>
            <w:shd w:val="clear" w:color="000000" w:fill="D9D9D9"/>
            <w:vAlign w:val="center"/>
            <w:hideMark/>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4=2*3</w:t>
            </w:r>
          </w:p>
        </w:tc>
      </w:tr>
      <w:tr w:rsidR="00CE6133" w:rsidRPr="00CE6133" w:rsidTr="00CE6133">
        <w:trPr>
          <w:trHeight w:val="375"/>
        </w:trPr>
        <w:tc>
          <w:tcPr>
            <w:tcW w:w="3833" w:type="dxa"/>
            <w:tcBorders>
              <w:top w:val="nil"/>
              <w:left w:val="single" w:sz="4" w:space="0" w:color="auto"/>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20"/>
                <w:szCs w:val="20"/>
                <w:lang w:val="bg-BG" w:eastAsia="bg-BG"/>
              </w:rPr>
              <w:t>СОБСТВЕНИК: (име и фамилия), вх. …, ет. …, ап. …,</w:t>
            </w:r>
          </w:p>
        </w:tc>
        <w:tc>
          <w:tcPr>
            <w:tcW w:w="2409" w:type="dxa"/>
            <w:tcBorders>
              <w:top w:val="nil"/>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p>
        </w:tc>
        <w:tc>
          <w:tcPr>
            <w:tcW w:w="1940" w:type="dxa"/>
            <w:tcBorders>
              <w:top w:val="nil"/>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p>
        </w:tc>
        <w:tc>
          <w:tcPr>
            <w:tcW w:w="2340" w:type="dxa"/>
            <w:tcBorders>
              <w:top w:val="nil"/>
              <w:left w:val="nil"/>
              <w:bottom w:val="single" w:sz="4" w:space="0" w:color="auto"/>
              <w:right w:val="single" w:sz="4" w:space="0" w:color="auto"/>
            </w:tcBorders>
            <w:shd w:val="clear" w:color="000000" w:fill="D9D9D9"/>
            <w:vAlign w:val="center"/>
          </w:tcPr>
          <w:p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p>
        </w:tc>
      </w:tr>
      <w:tr w:rsidR="00CE6133" w:rsidRPr="00CE6133" w:rsidTr="00CE6133">
        <w:trPr>
          <w:trHeight w:val="285"/>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изготвяне на инвестиционен проект</w:t>
            </w:r>
          </w:p>
        </w:tc>
        <w:tc>
          <w:tcPr>
            <w:tcW w:w="2409"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300"/>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 xml:space="preserve">Разходи за оценка за съответствието на проекта </w:t>
            </w:r>
          </w:p>
        </w:tc>
        <w:tc>
          <w:tcPr>
            <w:tcW w:w="2409"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300"/>
        </w:trPr>
        <w:tc>
          <w:tcPr>
            <w:tcW w:w="3833" w:type="dxa"/>
            <w:tcBorders>
              <w:top w:val="nil"/>
              <w:left w:val="single" w:sz="4" w:space="0" w:color="auto"/>
              <w:bottom w:val="single" w:sz="4" w:space="0" w:color="auto"/>
              <w:right w:val="single" w:sz="4" w:space="0" w:color="auto"/>
            </w:tcBorders>
            <w:shd w:val="clear" w:color="auto" w:fill="auto"/>
            <w:vAlign w:val="center"/>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строителни и монтажни работи (без включена дограма на самия СО и други дейности в СО)</w:t>
            </w:r>
          </w:p>
        </w:tc>
        <w:tc>
          <w:tcPr>
            <w:tcW w:w="2409"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300"/>
        </w:trPr>
        <w:tc>
          <w:tcPr>
            <w:tcW w:w="3833" w:type="dxa"/>
            <w:tcBorders>
              <w:top w:val="nil"/>
              <w:left w:val="single" w:sz="4" w:space="0" w:color="auto"/>
              <w:bottom w:val="single" w:sz="4" w:space="0" w:color="auto"/>
              <w:right w:val="single" w:sz="4" w:space="0" w:color="auto"/>
            </w:tcBorders>
            <w:shd w:val="clear" w:color="auto" w:fill="auto"/>
            <w:vAlign w:val="center"/>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Непредвидени разходи (10 % от стойността на разходите за СМР)</w:t>
            </w:r>
          </w:p>
        </w:tc>
        <w:tc>
          <w:tcPr>
            <w:tcW w:w="2409"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300"/>
        </w:trPr>
        <w:tc>
          <w:tcPr>
            <w:tcW w:w="3833" w:type="dxa"/>
            <w:tcBorders>
              <w:top w:val="nil"/>
              <w:left w:val="single" w:sz="4" w:space="0" w:color="auto"/>
              <w:bottom w:val="single" w:sz="4" w:space="0" w:color="auto"/>
              <w:right w:val="single" w:sz="4" w:space="0" w:color="auto"/>
            </w:tcBorders>
            <w:shd w:val="clear" w:color="auto" w:fill="auto"/>
            <w:vAlign w:val="center"/>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строителен надзор и инвеститорски контрол</w:t>
            </w:r>
          </w:p>
        </w:tc>
        <w:tc>
          <w:tcPr>
            <w:tcW w:w="2409"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285"/>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авторски надзор</w:t>
            </w:r>
          </w:p>
        </w:tc>
        <w:tc>
          <w:tcPr>
            <w:tcW w:w="2409"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855"/>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свързани с набавянето на необходими разрешителни документи, изискващи се от националното законодателство, включително и свързаните с тях такси, дължими на съответните компетентни органи</w:t>
            </w:r>
          </w:p>
        </w:tc>
        <w:tc>
          <w:tcPr>
            <w:tcW w:w="2409"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285"/>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свързани с въвеждането на обекта в експлоатация</w:t>
            </w:r>
          </w:p>
        </w:tc>
        <w:tc>
          <w:tcPr>
            <w:tcW w:w="2409"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285"/>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обследване за енергийна ефективност</w:t>
            </w:r>
          </w:p>
        </w:tc>
        <w:tc>
          <w:tcPr>
            <w:tcW w:w="2409"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600"/>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обследване за установяване на техническите характеристики и технически паспорт</w:t>
            </w:r>
          </w:p>
        </w:tc>
        <w:tc>
          <w:tcPr>
            <w:tcW w:w="2409"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rsidTr="00CE6133">
        <w:trPr>
          <w:trHeight w:val="300"/>
        </w:trPr>
        <w:tc>
          <w:tcPr>
            <w:tcW w:w="3833" w:type="dxa"/>
            <w:tcBorders>
              <w:top w:val="single" w:sz="4" w:space="0" w:color="auto"/>
              <w:left w:val="single" w:sz="4" w:space="0" w:color="auto"/>
              <w:bottom w:val="single" w:sz="4" w:space="0" w:color="auto"/>
              <w:right w:val="nil"/>
            </w:tcBorders>
            <w:shd w:val="clear" w:color="000000" w:fill="FFFF99"/>
            <w:noWrap/>
            <w:vAlign w:val="center"/>
            <w:hideMark/>
          </w:tcPr>
          <w:p w:rsidR="00CE6133" w:rsidRPr="00CE6133" w:rsidRDefault="00CE6133" w:rsidP="00A30C49">
            <w:pPr>
              <w:spacing w:after="120" w:line="240" w:lineRule="auto"/>
              <w:rPr>
                <w:rFonts w:ascii="Times New Roman" w:eastAsia="Times New Roman" w:hAnsi="Times New Roman"/>
                <w:b/>
                <w:bCs/>
                <w:lang w:val="bg-BG" w:eastAsia="bg-BG"/>
              </w:rPr>
            </w:pPr>
            <w:r w:rsidRPr="00CE6133">
              <w:rPr>
                <w:rFonts w:ascii="Times New Roman" w:eastAsia="Times New Roman" w:hAnsi="Times New Roman"/>
                <w:b/>
                <w:bCs/>
                <w:lang w:val="bg-BG" w:eastAsia="bg-BG"/>
              </w:rPr>
              <w:t>І. Общ размер на разходите без вкл. ДДС</w:t>
            </w:r>
          </w:p>
        </w:tc>
        <w:tc>
          <w:tcPr>
            <w:tcW w:w="2409" w:type="dxa"/>
            <w:tcBorders>
              <w:top w:val="single" w:sz="4" w:space="0" w:color="auto"/>
              <w:left w:val="single" w:sz="4" w:space="0" w:color="auto"/>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1940"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2340"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r>
      <w:tr w:rsidR="00CE6133" w:rsidRPr="00CE6133" w:rsidTr="00CE6133">
        <w:trPr>
          <w:trHeight w:val="315"/>
        </w:trPr>
        <w:tc>
          <w:tcPr>
            <w:tcW w:w="383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E6133" w:rsidRPr="00CE6133" w:rsidRDefault="00CE6133" w:rsidP="00A30C49">
            <w:pPr>
              <w:spacing w:after="120" w:line="240" w:lineRule="auto"/>
              <w:rPr>
                <w:rFonts w:ascii="Times New Roman" w:eastAsia="Times New Roman" w:hAnsi="Times New Roman"/>
                <w:b/>
                <w:bCs/>
                <w:lang w:val="bg-BG" w:eastAsia="bg-BG"/>
              </w:rPr>
            </w:pPr>
            <w:r w:rsidRPr="00CE6133">
              <w:rPr>
                <w:rFonts w:ascii="Times New Roman" w:eastAsia="Times New Roman" w:hAnsi="Times New Roman"/>
                <w:b/>
                <w:bCs/>
                <w:lang w:val="bg-BG" w:eastAsia="bg-BG"/>
              </w:rPr>
              <w:t>ІІ. ДДС</w:t>
            </w:r>
          </w:p>
        </w:tc>
        <w:tc>
          <w:tcPr>
            <w:tcW w:w="2409"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1940"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2340"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r>
      <w:tr w:rsidR="00CE6133" w:rsidRPr="00CE6133" w:rsidTr="00CE6133">
        <w:trPr>
          <w:trHeight w:val="300"/>
        </w:trPr>
        <w:tc>
          <w:tcPr>
            <w:tcW w:w="3833" w:type="dxa"/>
            <w:tcBorders>
              <w:top w:val="single" w:sz="4" w:space="0" w:color="auto"/>
              <w:left w:val="single" w:sz="4" w:space="0" w:color="auto"/>
              <w:bottom w:val="single" w:sz="4" w:space="0" w:color="auto"/>
              <w:right w:val="nil"/>
            </w:tcBorders>
            <w:shd w:val="clear" w:color="000000" w:fill="FFFF99"/>
            <w:noWrap/>
            <w:vAlign w:val="center"/>
            <w:hideMark/>
          </w:tcPr>
          <w:p w:rsidR="00CE6133" w:rsidRPr="00CE6133" w:rsidRDefault="00CE6133" w:rsidP="00A30C49">
            <w:pPr>
              <w:spacing w:after="120" w:line="240" w:lineRule="auto"/>
              <w:rPr>
                <w:rFonts w:ascii="Times New Roman" w:eastAsia="Times New Roman" w:hAnsi="Times New Roman"/>
                <w:b/>
                <w:bCs/>
                <w:lang w:val="bg-BG" w:eastAsia="bg-BG"/>
              </w:rPr>
            </w:pPr>
            <w:r w:rsidRPr="00CE6133">
              <w:rPr>
                <w:rFonts w:ascii="Times New Roman" w:eastAsia="Times New Roman" w:hAnsi="Times New Roman"/>
                <w:b/>
                <w:bCs/>
                <w:lang w:val="bg-BG" w:eastAsia="bg-BG"/>
              </w:rPr>
              <w:t>ОБЩ РАЗМЕР НА РАЗХОДИТЕ С ВКЛ. ДДС</w:t>
            </w:r>
          </w:p>
        </w:tc>
        <w:tc>
          <w:tcPr>
            <w:tcW w:w="2409" w:type="dxa"/>
            <w:tcBorders>
              <w:top w:val="single" w:sz="4" w:space="0" w:color="auto"/>
              <w:left w:val="single" w:sz="4" w:space="0" w:color="auto"/>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1940"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2340" w:type="dxa"/>
            <w:tcBorders>
              <w:top w:val="single" w:sz="4" w:space="0" w:color="auto"/>
              <w:left w:val="nil"/>
              <w:bottom w:val="single" w:sz="4" w:space="0" w:color="auto"/>
              <w:right w:val="single" w:sz="4" w:space="0" w:color="auto"/>
            </w:tcBorders>
            <w:shd w:val="clear" w:color="000000" w:fill="FFFF99"/>
            <w:noWrap/>
            <w:vAlign w:val="center"/>
          </w:tcPr>
          <w:p w:rsidR="00CE6133" w:rsidRPr="00CE6133" w:rsidRDefault="00CE6133" w:rsidP="00A30C49">
            <w:pPr>
              <w:spacing w:after="120" w:line="240" w:lineRule="auto"/>
              <w:jc w:val="right"/>
              <w:rPr>
                <w:rFonts w:ascii="Times New Roman" w:eastAsia="Times New Roman" w:hAnsi="Times New Roman"/>
                <w:b/>
                <w:bCs/>
                <w:lang w:val="bg-BG" w:eastAsia="bg-BG"/>
              </w:rPr>
            </w:pPr>
          </w:p>
        </w:tc>
      </w:tr>
    </w:tbl>
    <w:p w:rsidR="00CE6133" w:rsidRPr="00CE6133" w:rsidRDefault="00CE6133" w:rsidP="00CE6133">
      <w:pPr>
        <w:spacing w:after="120" w:line="240" w:lineRule="auto"/>
        <w:rPr>
          <w:lang w:val="bg-BG"/>
        </w:rPr>
      </w:pPr>
    </w:p>
    <w:p w:rsidR="00CE6133" w:rsidRPr="00CE6133" w:rsidRDefault="00CE6133" w:rsidP="00CE6133">
      <w:pPr>
        <w:pStyle w:val="ListParagraph"/>
        <w:numPr>
          <w:ilvl w:val="1"/>
          <w:numId w:val="22"/>
        </w:numPr>
        <w:snapToGrid w:val="0"/>
        <w:spacing w:after="120"/>
        <w:ind w:left="360"/>
        <w:jc w:val="both"/>
        <w:rPr>
          <w:b/>
          <w:color w:val="000000" w:themeColor="text1"/>
          <w:lang w:val="bg-BG"/>
        </w:rPr>
      </w:pPr>
      <w:r w:rsidRPr="00CE6133">
        <w:rPr>
          <w:b/>
          <w:color w:val="000000" w:themeColor="text1"/>
          <w:lang w:val="bg-BG"/>
        </w:rPr>
        <w:t xml:space="preserve"> Допълнителни условия</w:t>
      </w:r>
    </w:p>
    <w:p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ССО ще следва да осигури своя дял при следния ред:</w:t>
      </w:r>
    </w:p>
    <w:p w:rsidR="00CE6133" w:rsidRPr="00CE6133" w:rsidRDefault="00CE6133" w:rsidP="00CE6133">
      <w:pPr>
        <w:pStyle w:val="ListParagraph"/>
        <w:numPr>
          <w:ilvl w:val="0"/>
          <w:numId w:val="21"/>
        </w:numPr>
        <w:spacing w:after="120"/>
        <w:jc w:val="both"/>
        <w:rPr>
          <w:lang w:val="bg-BG"/>
        </w:rPr>
      </w:pPr>
      <w:r w:rsidRPr="00CE6133">
        <w:rPr>
          <w:lang w:val="bg-BG"/>
        </w:rPr>
        <w:t>500 лв. преди подписването на договора между общината и СС.</w:t>
      </w:r>
    </w:p>
    <w:p w:rsidR="00CE6133" w:rsidRPr="00CE6133" w:rsidRDefault="00CE6133" w:rsidP="00CE6133">
      <w:pPr>
        <w:pStyle w:val="ListParagraph"/>
        <w:numPr>
          <w:ilvl w:val="0"/>
          <w:numId w:val="21"/>
        </w:numPr>
        <w:spacing w:after="120"/>
        <w:jc w:val="both"/>
        <w:rPr>
          <w:lang w:val="bg-BG"/>
        </w:rPr>
      </w:pPr>
      <w:r w:rsidRPr="00CE6133">
        <w:rPr>
          <w:lang w:val="bg-BG"/>
        </w:rPr>
        <w:t>15% (петнадесет процента) от индикативната стойност от частта (</w:t>
      </w:r>
      <w:proofErr w:type="spellStart"/>
      <w:r w:rsidRPr="00CE6133">
        <w:rPr>
          <w:lang w:val="bg-BG"/>
        </w:rPr>
        <w:t>съфинасирането</w:t>
      </w:r>
      <w:proofErr w:type="spellEnd"/>
      <w:r w:rsidRPr="00CE6133">
        <w:rPr>
          <w:lang w:val="bg-BG"/>
        </w:rPr>
        <w:t>) на ССО – в срок до 10 работни дни след сключване на договора.</w:t>
      </w:r>
    </w:p>
    <w:p w:rsidR="00CE6133" w:rsidRPr="00CE6133" w:rsidRDefault="00CE6133" w:rsidP="00CE6133">
      <w:pPr>
        <w:pStyle w:val="ListParagraph"/>
        <w:numPr>
          <w:ilvl w:val="0"/>
          <w:numId w:val="21"/>
        </w:numPr>
        <w:snapToGrid w:val="0"/>
        <w:spacing w:after="120"/>
        <w:jc w:val="both"/>
        <w:rPr>
          <w:color w:val="000000" w:themeColor="text1"/>
          <w:lang w:val="bg-BG"/>
        </w:rPr>
      </w:pPr>
      <w:r w:rsidRPr="00CE6133">
        <w:rPr>
          <w:lang w:val="bg-BG"/>
        </w:rPr>
        <w:t>Остатъкът до пълния размер от индикативната стойност от частта (</w:t>
      </w:r>
      <w:proofErr w:type="spellStart"/>
      <w:r w:rsidRPr="00CE6133">
        <w:rPr>
          <w:lang w:val="bg-BG"/>
        </w:rPr>
        <w:t>съфинансирането</w:t>
      </w:r>
      <w:proofErr w:type="spellEnd"/>
      <w:r w:rsidRPr="00CE6133">
        <w:rPr>
          <w:lang w:val="bg-BG"/>
        </w:rPr>
        <w:t>) на ССО в срок до 10 работни дни след получаване от представителя на СС на уведомление за решение на за избор на изпълнител на СМР по реда на Закона за обществените поръчки.</w:t>
      </w:r>
    </w:p>
    <w:p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lastRenderedPageBreak/>
        <w:t>В случай, че съответният ССО не поиска да покрие определения му дял от обновяването съгласно припадащите му се идеални части от общите в сградата, СС би могло да вземе решение да го покрие като осигурява съответните вноски по графика, описан по-горе.</w:t>
      </w:r>
    </w:p>
    <w:p w:rsidR="00CE6133" w:rsidRPr="00CE6133" w:rsidRDefault="00CE6133" w:rsidP="00CE6133">
      <w:pPr>
        <w:snapToGrid w:val="0"/>
        <w:spacing w:after="120" w:line="240" w:lineRule="auto"/>
        <w:rPr>
          <w:rFonts w:ascii="Times New Roman" w:hAnsi="Times New Roman"/>
          <w:sz w:val="24"/>
          <w:szCs w:val="24"/>
          <w:lang w:val="bg-BG"/>
        </w:rPr>
      </w:pPr>
    </w:p>
    <w:p w:rsidR="00364C4D" w:rsidRPr="00CE6133" w:rsidRDefault="00364C4D" w:rsidP="00FF1FAB">
      <w:pPr>
        <w:snapToGrid w:val="0"/>
        <w:spacing w:after="120" w:line="240" w:lineRule="auto"/>
        <w:rPr>
          <w:rFonts w:ascii="Times New Roman" w:hAnsi="Times New Roman"/>
          <w:sz w:val="24"/>
          <w:szCs w:val="24"/>
          <w:lang w:val="bg-BG"/>
        </w:rPr>
      </w:pPr>
    </w:p>
    <w:sectPr w:rsidR="00364C4D" w:rsidRPr="00CE6133" w:rsidSect="0014214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43E" w:rsidRDefault="0002143E" w:rsidP="000C4C4A">
      <w:pPr>
        <w:spacing w:after="0" w:line="240" w:lineRule="auto"/>
      </w:pPr>
      <w:r>
        <w:separator/>
      </w:r>
    </w:p>
  </w:endnote>
  <w:endnote w:type="continuationSeparator" w:id="0">
    <w:p w:rsidR="0002143E" w:rsidRDefault="0002143E" w:rsidP="000C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A0" w:rsidRDefault="00245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779673"/>
      <w:docPartObj>
        <w:docPartGallery w:val="Page Numbers (Bottom of Page)"/>
        <w:docPartUnique/>
      </w:docPartObj>
    </w:sdtPr>
    <w:sdtEndPr>
      <w:rPr>
        <w:rFonts w:ascii="Times New Roman" w:hAnsi="Times New Roman"/>
        <w:b/>
        <w:noProof/>
        <w:sz w:val="16"/>
        <w:szCs w:val="16"/>
      </w:rPr>
    </w:sdtEndPr>
    <w:sdtContent>
      <w:p w:rsidR="00364C4D" w:rsidRPr="001E76AE" w:rsidRDefault="00364C4D">
        <w:pPr>
          <w:pStyle w:val="Footer"/>
          <w:jc w:val="right"/>
          <w:rPr>
            <w:rFonts w:ascii="Times New Roman" w:hAnsi="Times New Roman"/>
            <w:b/>
            <w:sz w:val="16"/>
            <w:szCs w:val="16"/>
          </w:rPr>
        </w:pPr>
        <w:r w:rsidRPr="001E76AE">
          <w:rPr>
            <w:rFonts w:ascii="Times New Roman" w:hAnsi="Times New Roman"/>
            <w:b/>
            <w:sz w:val="16"/>
            <w:szCs w:val="16"/>
          </w:rPr>
          <w:fldChar w:fldCharType="begin"/>
        </w:r>
        <w:r w:rsidRPr="001E76AE">
          <w:rPr>
            <w:rFonts w:ascii="Times New Roman" w:hAnsi="Times New Roman"/>
            <w:b/>
            <w:sz w:val="16"/>
            <w:szCs w:val="16"/>
          </w:rPr>
          <w:instrText xml:space="preserve"> PAGE   \* MERGEFORMAT </w:instrText>
        </w:r>
        <w:r w:rsidRPr="001E76AE">
          <w:rPr>
            <w:rFonts w:ascii="Times New Roman" w:hAnsi="Times New Roman"/>
            <w:b/>
            <w:sz w:val="16"/>
            <w:szCs w:val="16"/>
          </w:rPr>
          <w:fldChar w:fldCharType="separate"/>
        </w:r>
        <w:r w:rsidR="00CE6133">
          <w:rPr>
            <w:rFonts w:ascii="Times New Roman" w:hAnsi="Times New Roman"/>
            <w:b/>
            <w:noProof/>
            <w:sz w:val="16"/>
            <w:szCs w:val="16"/>
          </w:rPr>
          <w:t>8</w:t>
        </w:r>
        <w:r w:rsidRPr="001E76AE">
          <w:rPr>
            <w:rFonts w:ascii="Times New Roman" w:hAnsi="Times New Roman"/>
            <w:b/>
            <w:noProof/>
            <w:sz w:val="16"/>
            <w:szCs w:val="16"/>
          </w:rPr>
          <w:fldChar w:fldCharType="end"/>
        </w:r>
      </w:p>
    </w:sdtContent>
  </w:sdt>
  <w:p w:rsidR="00364C4D" w:rsidRDefault="00364C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A0" w:rsidRDefault="00245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43E" w:rsidRDefault="0002143E" w:rsidP="000C4C4A">
      <w:pPr>
        <w:spacing w:after="0" w:line="240" w:lineRule="auto"/>
      </w:pPr>
      <w:r>
        <w:separator/>
      </w:r>
    </w:p>
  </w:footnote>
  <w:footnote w:type="continuationSeparator" w:id="0">
    <w:p w:rsidR="0002143E" w:rsidRDefault="0002143E" w:rsidP="000C4C4A">
      <w:pPr>
        <w:spacing w:after="0" w:line="240" w:lineRule="auto"/>
      </w:pPr>
      <w:r>
        <w:continuationSeparator/>
      </w:r>
    </w:p>
  </w:footnote>
  <w:footnote w:id="1">
    <w:p w:rsidR="00CE6133" w:rsidRPr="0080204A" w:rsidRDefault="00CE6133" w:rsidP="00CE6133">
      <w:pPr>
        <w:pStyle w:val="FootnoteText"/>
        <w:tabs>
          <w:tab w:val="left" w:pos="142"/>
        </w:tabs>
        <w:spacing w:after="120" w:line="240" w:lineRule="auto"/>
        <w:rPr>
          <w:lang w:val="bg-BG"/>
        </w:rPr>
      </w:pPr>
      <w:r w:rsidRPr="0080204A">
        <w:rPr>
          <w:rStyle w:val="FootnoteReference"/>
          <w:lang w:val="bg-BG"/>
        </w:rPr>
        <w:footnoteRef/>
      </w:r>
      <w:r w:rsidRPr="0080204A">
        <w:rPr>
          <w:rFonts w:ascii="Times New Roman" w:hAnsi="Times New Roman"/>
          <w:lang w:val="bg-BG"/>
        </w:rPr>
        <w:t xml:space="preserve"> </w:t>
      </w:r>
      <w:proofErr w:type="spellStart"/>
      <w:r w:rsidRPr="0080204A">
        <w:rPr>
          <w:rFonts w:ascii="Times New Roman" w:hAnsi="Times New Roman"/>
          <w:lang w:val="bg-BG"/>
        </w:rPr>
        <w:t>Case</w:t>
      </w:r>
      <w:proofErr w:type="spellEnd"/>
      <w:r w:rsidRPr="0080204A">
        <w:rPr>
          <w:rFonts w:ascii="Times New Roman" w:hAnsi="Times New Roman"/>
          <w:lang w:val="bg-BG"/>
        </w:rPr>
        <w:t xml:space="preserve"> C-41/90, </w:t>
      </w:r>
      <w:proofErr w:type="spellStart"/>
      <w:r w:rsidRPr="0080204A">
        <w:rPr>
          <w:rFonts w:ascii="Times New Roman" w:hAnsi="Times New Roman"/>
          <w:lang w:val="bg-BG"/>
        </w:rPr>
        <w:t>Klaus</w:t>
      </w:r>
      <w:proofErr w:type="spellEnd"/>
      <w:r w:rsidRPr="0080204A">
        <w:rPr>
          <w:rFonts w:ascii="Times New Roman" w:hAnsi="Times New Roman"/>
          <w:lang w:val="bg-BG"/>
        </w:rPr>
        <w:t xml:space="preserve"> </w:t>
      </w:r>
      <w:proofErr w:type="spellStart"/>
      <w:r w:rsidRPr="0080204A">
        <w:rPr>
          <w:rFonts w:ascii="Times New Roman" w:hAnsi="Times New Roman"/>
          <w:lang w:val="bg-BG"/>
        </w:rPr>
        <w:t>Höfner</w:t>
      </w:r>
      <w:proofErr w:type="spellEnd"/>
      <w:r w:rsidRPr="0080204A">
        <w:rPr>
          <w:rFonts w:ascii="Times New Roman" w:hAnsi="Times New Roman"/>
          <w:lang w:val="bg-BG"/>
        </w:rPr>
        <w:t xml:space="preserve"> </w:t>
      </w:r>
      <w:proofErr w:type="spellStart"/>
      <w:r w:rsidRPr="0080204A">
        <w:rPr>
          <w:rFonts w:ascii="Times New Roman" w:hAnsi="Times New Roman"/>
          <w:lang w:val="bg-BG"/>
        </w:rPr>
        <w:t>and</w:t>
      </w:r>
      <w:proofErr w:type="spellEnd"/>
      <w:r w:rsidRPr="0080204A">
        <w:rPr>
          <w:rFonts w:ascii="Times New Roman" w:hAnsi="Times New Roman"/>
          <w:lang w:val="bg-BG"/>
        </w:rPr>
        <w:t xml:space="preserve"> </w:t>
      </w:r>
      <w:proofErr w:type="spellStart"/>
      <w:r w:rsidRPr="0080204A">
        <w:rPr>
          <w:rFonts w:ascii="Times New Roman" w:hAnsi="Times New Roman"/>
          <w:lang w:val="bg-BG"/>
        </w:rPr>
        <w:t>Fritz</w:t>
      </w:r>
      <w:proofErr w:type="spellEnd"/>
      <w:r w:rsidRPr="0080204A">
        <w:rPr>
          <w:rFonts w:ascii="Times New Roman" w:hAnsi="Times New Roman"/>
          <w:lang w:val="bg-BG"/>
        </w:rPr>
        <w:t xml:space="preserve"> </w:t>
      </w:r>
      <w:proofErr w:type="spellStart"/>
      <w:r w:rsidRPr="0080204A">
        <w:rPr>
          <w:rFonts w:ascii="Times New Roman" w:hAnsi="Times New Roman"/>
          <w:lang w:val="bg-BG"/>
        </w:rPr>
        <w:t>Elser</w:t>
      </w:r>
      <w:proofErr w:type="spellEnd"/>
      <w:r w:rsidRPr="0080204A">
        <w:rPr>
          <w:rFonts w:ascii="Times New Roman" w:hAnsi="Times New Roman"/>
          <w:lang w:val="bg-BG"/>
        </w:rPr>
        <w:t xml:space="preserve"> v. </w:t>
      </w:r>
      <w:proofErr w:type="spellStart"/>
      <w:r w:rsidRPr="0080204A">
        <w:rPr>
          <w:rFonts w:ascii="Times New Roman" w:hAnsi="Times New Roman"/>
          <w:lang w:val="bg-BG"/>
        </w:rPr>
        <w:t>Macrotron</w:t>
      </w:r>
      <w:proofErr w:type="spellEnd"/>
      <w:r w:rsidRPr="0080204A">
        <w:rPr>
          <w:rFonts w:ascii="Times New Roman" w:hAnsi="Times New Roman"/>
          <w:lang w:val="bg-BG"/>
        </w:rPr>
        <w:t xml:space="preserve"> </w:t>
      </w:r>
      <w:proofErr w:type="spellStart"/>
      <w:r w:rsidRPr="0080204A">
        <w:rPr>
          <w:rFonts w:ascii="Times New Roman" w:hAnsi="Times New Roman"/>
          <w:lang w:val="bg-BG"/>
        </w:rPr>
        <w:t>GmbH</w:t>
      </w:r>
      <w:proofErr w:type="spellEnd"/>
      <w:r w:rsidRPr="0080204A">
        <w:rPr>
          <w:rFonts w:ascii="Times New Roman" w:hAnsi="Times New Roman"/>
          <w:lang w:val="bg-BG"/>
        </w:rPr>
        <w:t xml:space="preserve">; </w:t>
      </w:r>
      <w:proofErr w:type="spellStart"/>
      <w:r w:rsidRPr="0080204A">
        <w:rPr>
          <w:rFonts w:ascii="Times New Roman" w:hAnsi="Times New Roman"/>
          <w:lang w:val="bg-BG"/>
        </w:rPr>
        <w:t>Case</w:t>
      </w:r>
      <w:proofErr w:type="spellEnd"/>
      <w:r w:rsidRPr="0080204A">
        <w:rPr>
          <w:rFonts w:ascii="Times New Roman" w:hAnsi="Times New Roman"/>
          <w:lang w:val="bg-BG"/>
        </w:rPr>
        <w:t xml:space="preserve"> C-55/96, </w:t>
      </w:r>
      <w:proofErr w:type="spellStart"/>
      <w:r w:rsidRPr="0080204A">
        <w:rPr>
          <w:rFonts w:ascii="Times New Roman" w:hAnsi="Times New Roman"/>
          <w:lang w:val="bg-BG"/>
        </w:rPr>
        <w:t>Job</w:t>
      </w:r>
      <w:proofErr w:type="spellEnd"/>
      <w:r w:rsidRPr="0080204A">
        <w:rPr>
          <w:rFonts w:ascii="Times New Roman" w:hAnsi="Times New Roman"/>
          <w:lang w:val="bg-BG"/>
        </w:rPr>
        <w:t xml:space="preserve"> </w:t>
      </w:r>
      <w:proofErr w:type="spellStart"/>
      <w:r w:rsidRPr="0080204A">
        <w:rPr>
          <w:rFonts w:ascii="Times New Roman" w:hAnsi="Times New Roman"/>
          <w:lang w:val="bg-BG"/>
        </w:rPr>
        <w:t>Centre</w:t>
      </w:r>
      <w:proofErr w:type="spellEnd"/>
      <w:r w:rsidRPr="0080204A">
        <w:rPr>
          <w:rFonts w:ascii="Times New Roman" w:hAnsi="Times New Roman"/>
          <w:lang w:val="bg-BG"/>
        </w:rPr>
        <w:t xml:space="preserve"> </w:t>
      </w:r>
      <w:proofErr w:type="spellStart"/>
      <w:r w:rsidRPr="0080204A">
        <w:rPr>
          <w:rFonts w:ascii="Times New Roman" w:hAnsi="Times New Roman"/>
          <w:lang w:val="bg-BG"/>
        </w:rPr>
        <w:t>coop</w:t>
      </w:r>
      <w:proofErr w:type="spellEnd"/>
      <w:r w:rsidRPr="0080204A">
        <w:rPr>
          <w:rFonts w:ascii="Times New Roman" w:hAnsi="Times New Roman"/>
          <w:lang w:val="bg-BG"/>
        </w:rPr>
        <w:t xml:space="preserve">. </w:t>
      </w:r>
      <w:proofErr w:type="spellStart"/>
      <w:r w:rsidRPr="0080204A">
        <w:rPr>
          <w:rFonts w:ascii="Times New Roman" w:hAnsi="Times New Roman"/>
          <w:lang w:val="bg-BG"/>
        </w:rPr>
        <w:t>arl</w:t>
      </w:r>
      <w:proofErr w:type="spellEnd"/>
      <w:r w:rsidRPr="0080204A">
        <w:rPr>
          <w:rFonts w:ascii="Times New Roman" w:hAnsi="Times New Roman"/>
          <w:lang w:val="bg-BG"/>
        </w:rPr>
        <w:t>., 1997.</w:t>
      </w:r>
    </w:p>
  </w:footnote>
  <w:footnote w:id="2">
    <w:p w:rsidR="00CE6133" w:rsidRPr="0080204A" w:rsidRDefault="00CE6133" w:rsidP="00CE6133">
      <w:pPr>
        <w:pStyle w:val="FootnoteText"/>
        <w:spacing w:after="120" w:line="240" w:lineRule="auto"/>
        <w:ind w:hanging="142"/>
        <w:jc w:val="both"/>
        <w:rPr>
          <w:rFonts w:ascii="Times New Roman" w:hAnsi="Times New Roman"/>
          <w:lang w:val="bg-BG"/>
        </w:rPr>
      </w:pPr>
      <w:r w:rsidRPr="0080204A">
        <w:rPr>
          <w:rStyle w:val="FootnoteReference"/>
          <w:lang w:val="bg-BG"/>
        </w:rPr>
        <w:footnoteRef/>
      </w:r>
      <w:r w:rsidRPr="0080204A">
        <w:rPr>
          <w:rFonts w:ascii="Times New Roman" w:hAnsi="Times New Roman"/>
          <w:lang w:val="bg-BG"/>
        </w:rPr>
        <w:t xml:space="preserve"> </w:t>
      </w:r>
      <w:r w:rsidRPr="0080204A">
        <w:rPr>
          <w:rFonts w:ascii="Times New Roman" w:hAnsi="Times New Roman"/>
          <w:lang w:val="bg-BG"/>
        </w:rPr>
        <w:t xml:space="preserve">Регламент (ЕО) № 104/2000 на Съвета от 17 декември 1999 година относно общата организация на пазарите на рибни продукти и продукти от </w:t>
      </w:r>
      <w:proofErr w:type="spellStart"/>
      <w:r w:rsidRPr="0080204A">
        <w:rPr>
          <w:rFonts w:ascii="Times New Roman" w:hAnsi="Times New Roman"/>
          <w:lang w:val="bg-BG"/>
        </w:rPr>
        <w:t>аквакултури</w:t>
      </w:r>
      <w:proofErr w:type="spellEnd"/>
      <w:r w:rsidRPr="0080204A">
        <w:rPr>
          <w:rFonts w:ascii="Times New Roman" w:hAnsi="Times New Roman"/>
          <w:lang w:val="bg-BG"/>
        </w:rPr>
        <w:t xml:space="preserve"> (ОВ L 17, 21.1.2000 г., стр. 22).</w:t>
      </w:r>
    </w:p>
  </w:footnote>
  <w:footnote w:id="3">
    <w:p w:rsidR="00CE6133" w:rsidRPr="0080204A" w:rsidRDefault="00CE6133" w:rsidP="00CE6133">
      <w:pPr>
        <w:pStyle w:val="FootnoteText"/>
        <w:spacing w:after="120" w:line="240" w:lineRule="auto"/>
        <w:ind w:hanging="284"/>
        <w:jc w:val="both"/>
        <w:rPr>
          <w:rFonts w:ascii="Times New Roman" w:hAnsi="Times New Roman"/>
          <w:lang w:val="bg-BG"/>
        </w:rPr>
      </w:pPr>
      <w:r w:rsidRPr="0080204A">
        <w:rPr>
          <w:rStyle w:val="FootnoteReference"/>
          <w:lang w:val="bg-BG"/>
        </w:rPr>
        <w:footnoteRef/>
      </w:r>
      <w:r w:rsidRPr="0080204A">
        <w:rPr>
          <w:rFonts w:ascii="Times New Roman" w:hAnsi="Times New Roman"/>
          <w:lang w:val="bg-BG"/>
        </w:rPr>
        <w:t xml:space="preserve"> </w:t>
      </w:r>
      <w:r w:rsidRPr="0080204A">
        <w:rPr>
          <w:rFonts w:ascii="Times New Roman" w:hAnsi="Times New Roman"/>
          <w:lang w:val="bg-BG"/>
        </w:rPr>
        <w:tab/>
      </w:r>
      <w:r w:rsidRPr="0080204A">
        <w:rPr>
          <w:rFonts w:ascii="Times New Roman" w:hAnsi="Times New Roman"/>
          <w:lang w:val="bg-BG"/>
        </w:rPr>
        <w:t>Регламент (ЕС) № 360/2012 на Комисията от 25 април 2012 година относно прилагането на членове 107 и 108 от Договора за функционирането на Европейския съюз към минималната помощ (</w:t>
      </w:r>
      <w:proofErr w:type="spellStart"/>
      <w:r w:rsidRPr="0080204A">
        <w:rPr>
          <w:rFonts w:ascii="Times New Roman" w:hAnsi="Times New Roman"/>
          <w:lang w:val="bg-BG"/>
        </w:rPr>
        <w:t>de</w:t>
      </w:r>
      <w:proofErr w:type="spellEnd"/>
      <w:r w:rsidRPr="0080204A">
        <w:rPr>
          <w:rFonts w:ascii="Times New Roman" w:hAnsi="Times New Roman"/>
          <w:lang w:val="bg-BG"/>
        </w:rPr>
        <w:t xml:space="preserve"> </w:t>
      </w:r>
      <w:proofErr w:type="spellStart"/>
      <w:r w:rsidRPr="0080204A">
        <w:rPr>
          <w:rFonts w:ascii="Times New Roman" w:hAnsi="Times New Roman"/>
          <w:lang w:val="bg-BG"/>
        </w:rPr>
        <w:t>minimis</w:t>
      </w:r>
      <w:proofErr w:type="spellEnd"/>
      <w:r w:rsidRPr="0080204A">
        <w:rPr>
          <w:rFonts w:ascii="Times New Roman" w:hAnsi="Times New Roman"/>
          <w:lang w:val="bg-BG"/>
        </w:rPr>
        <w:t>) за предприятия, предоставящи услуги от общ икономически интерес (ОВ L 114, 26.4.2012 г., стр.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A0" w:rsidRDefault="00245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4D" w:rsidRPr="0078489C" w:rsidRDefault="00364C4D" w:rsidP="0078489C">
    <w:pPr>
      <w:pStyle w:val="Header"/>
      <w:jc w:val="right"/>
      <w:rPr>
        <w:rFonts w:ascii="Times New Roman" w:hAnsi="Times New Roman"/>
        <w:i/>
      </w:rPr>
    </w:pPr>
    <w:r w:rsidRPr="0078489C">
      <w:rPr>
        <w:rFonts w:ascii="Times New Roman" w:hAnsi="Times New Roman"/>
        <w:i/>
      </w:rPr>
      <w:t xml:space="preserve">Приложение </w:t>
    </w:r>
    <w:r w:rsidR="002451A0" w:rsidRPr="0078489C">
      <w:rPr>
        <w:rFonts w:ascii="Times New Roman" w:eastAsiaTheme="minorEastAsia" w:hAnsi="Times New Roman"/>
        <w:i/>
        <w:noProof/>
        <w:color w:val="000000" w:themeColor="text1"/>
      </w:rPr>
      <w:t xml:space="preserve">№ </w:t>
    </w:r>
    <w:r w:rsidRPr="0078489C">
      <w:rPr>
        <w:rFonts w:ascii="Times New Roman" w:hAnsi="Times New Roman"/>
        <w:i/>
      </w:rPr>
      <w:t xml:space="preserve">14 </w:t>
    </w:r>
  </w:p>
  <w:p w:rsidR="00364C4D" w:rsidRPr="0078489C" w:rsidRDefault="00364C4D" w:rsidP="0078489C">
    <w:pPr>
      <w:pStyle w:val="Header"/>
      <w:jc w:val="right"/>
      <w:rPr>
        <w:rFonts w:ascii="Times New Roman" w:hAnsi="Times New Roman"/>
        <w:i/>
        <w:sz w:val="24"/>
        <w:szCs w:val="24"/>
      </w:rPr>
    </w:pPr>
    <w:r w:rsidRPr="0078489C">
      <w:rPr>
        <w:rFonts w:ascii="Times New Roman" w:hAnsi="Times New Roman"/>
        <w:i/>
      </w:rPr>
      <w:t>към Методическите указания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A0" w:rsidRDefault="00245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0D"/>
    <w:multiLevelType w:val="hybridMultilevel"/>
    <w:tmpl w:val="00006B89"/>
    <w:lvl w:ilvl="0" w:tplc="0000030A">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292AA71A"/>
    <w:lvl w:ilvl="0" w:tplc="0BCAB2A2">
      <w:start w:val="1"/>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3CB"/>
    <w:multiLevelType w:val="hybridMultilevel"/>
    <w:tmpl w:val="00006BFC"/>
    <w:lvl w:ilvl="0" w:tplc="00007F96">
      <w:start w:val="1"/>
      <w:numFmt w:val="bullet"/>
      <w:lvlText w:val=""/>
      <w:lvlJc w:val="left"/>
      <w:pPr>
        <w:tabs>
          <w:tab w:val="num" w:pos="720"/>
        </w:tabs>
        <w:ind w:left="720" w:hanging="360"/>
      </w:pPr>
    </w:lvl>
    <w:lvl w:ilvl="1" w:tplc="00007FF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0C3F59"/>
    <w:multiLevelType w:val="hybridMultilevel"/>
    <w:tmpl w:val="2CD655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7394DC5"/>
    <w:multiLevelType w:val="multilevel"/>
    <w:tmpl w:val="25AA4316"/>
    <w:lvl w:ilvl="0">
      <w:start w:val="1"/>
      <w:numFmt w:val="decimal"/>
      <w:pStyle w:val="GfAheading1"/>
      <w:lvlText w:val="%1."/>
      <w:lvlJc w:val="left"/>
      <w:pPr>
        <w:tabs>
          <w:tab w:val="num" w:pos="1080"/>
        </w:tabs>
        <w:ind w:left="1080" w:hanging="360"/>
      </w:pPr>
      <w:rPr>
        <w:rFonts w:hint="default"/>
      </w:rPr>
    </w:lvl>
    <w:lvl w:ilvl="1">
      <w:start w:val="1"/>
      <w:numFmt w:val="decimal"/>
      <w:pStyle w:val="NumPar2"/>
      <w:lvlText w:val="%1.%2."/>
      <w:lvlJc w:val="left"/>
      <w:pPr>
        <w:tabs>
          <w:tab w:val="num" w:pos="1211"/>
        </w:tabs>
        <w:ind w:left="1211"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9">
    <w:nsid w:val="08136ACE"/>
    <w:multiLevelType w:val="hybridMultilevel"/>
    <w:tmpl w:val="800A7420"/>
    <w:lvl w:ilvl="0" w:tplc="04090001">
      <w:start w:val="1"/>
      <w:numFmt w:val="bullet"/>
      <w:lvlText w:val=""/>
      <w:lvlJc w:val="left"/>
      <w:pPr>
        <w:ind w:left="6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A9565D"/>
    <w:multiLevelType w:val="hybridMultilevel"/>
    <w:tmpl w:val="0E02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4566F7"/>
    <w:multiLevelType w:val="multilevel"/>
    <w:tmpl w:val="C568C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16633DD"/>
    <w:multiLevelType w:val="hybridMultilevel"/>
    <w:tmpl w:val="4EA8FDE4"/>
    <w:lvl w:ilvl="0" w:tplc="541C457E">
      <w:start w:val="1"/>
      <w:numFmt w:val="decimal"/>
      <w:lvlText w:val="%1."/>
      <w:lvlJc w:val="left"/>
      <w:pPr>
        <w:ind w:left="366" w:hanging="360"/>
      </w:pPr>
      <w:rPr>
        <w:rFonts w:hint="default"/>
      </w:rPr>
    </w:lvl>
    <w:lvl w:ilvl="1" w:tplc="04020019" w:tentative="1">
      <w:start w:val="1"/>
      <w:numFmt w:val="lowerLetter"/>
      <w:lvlText w:val="%2."/>
      <w:lvlJc w:val="left"/>
      <w:pPr>
        <w:ind w:left="1086" w:hanging="360"/>
      </w:pPr>
    </w:lvl>
    <w:lvl w:ilvl="2" w:tplc="0402001B" w:tentative="1">
      <w:start w:val="1"/>
      <w:numFmt w:val="lowerRoman"/>
      <w:lvlText w:val="%3."/>
      <w:lvlJc w:val="right"/>
      <w:pPr>
        <w:ind w:left="1806" w:hanging="180"/>
      </w:pPr>
    </w:lvl>
    <w:lvl w:ilvl="3" w:tplc="0402000F" w:tentative="1">
      <w:start w:val="1"/>
      <w:numFmt w:val="decimal"/>
      <w:lvlText w:val="%4."/>
      <w:lvlJc w:val="left"/>
      <w:pPr>
        <w:ind w:left="2526" w:hanging="360"/>
      </w:pPr>
    </w:lvl>
    <w:lvl w:ilvl="4" w:tplc="04020019" w:tentative="1">
      <w:start w:val="1"/>
      <w:numFmt w:val="lowerLetter"/>
      <w:lvlText w:val="%5."/>
      <w:lvlJc w:val="left"/>
      <w:pPr>
        <w:ind w:left="3246" w:hanging="360"/>
      </w:pPr>
    </w:lvl>
    <w:lvl w:ilvl="5" w:tplc="0402001B" w:tentative="1">
      <w:start w:val="1"/>
      <w:numFmt w:val="lowerRoman"/>
      <w:lvlText w:val="%6."/>
      <w:lvlJc w:val="right"/>
      <w:pPr>
        <w:ind w:left="3966" w:hanging="180"/>
      </w:pPr>
    </w:lvl>
    <w:lvl w:ilvl="6" w:tplc="0402000F" w:tentative="1">
      <w:start w:val="1"/>
      <w:numFmt w:val="decimal"/>
      <w:lvlText w:val="%7."/>
      <w:lvlJc w:val="left"/>
      <w:pPr>
        <w:ind w:left="4686" w:hanging="360"/>
      </w:pPr>
    </w:lvl>
    <w:lvl w:ilvl="7" w:tplc="04020019" w:tentative="1">
      <w:start w:val="1"/>
      <w:numFmt w:val="lowerLetter"/>
      <w:lvlText w:val="%8."/>
      <w:lvlJc w:val="left"/>
      <w:pPr>
        <w:ind w:left="5406" w:hanging="360"/>
      </w:pPr>
    </w:lvl>
    <w:lvl w:ilvl="8" w:tplc="0402001B" w:tentative="1">
      <w:start w:val="1"/>
      <w:numFmt w:val="lowerRoman"/>
      <w:lvlText w:val="%9."/>
      <w:lvlJc w:val="right"/>
      <w:pPr>
        <w:ind w:left="6126" w:hanging="180"/>
      </w:pPr>
    </w:lvl>
  </w:abstractNum>
  <w:abstractNum w:abstractNumId="13">
    <w:nsid w:val="13543964"/>
    <w:multiLevelType w:val="hybridMultilevel"/>
    <w:tmpl w:val="BE74F2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24076696"/>
    <w:multiLevelType w:val="hybridMultilevel"/>
    <w:tmpl w:val="3B103590"/>
    <w:lvl w:ilvl="0" w:tplc="4BBA93FC">
      <w:start w:val="1"/>
      <w:numFmt w:val="bullet"/>
      <w:lvlText w:val="-"/>
      <w:lvlJc w:val="left"/>
      <w:pPr>
        <w:ind w:left="720" w:hanging="360"/>
      </w:pPr>
      <w:rPr>
        <w:rFonts w:ascii="Times New Roman" w:eastAsia="Times New Roman" w:hAnsi="Times New Roman" w:hint="default"/>
      </w:rPr>
    </w:lvl>
    <w:lvl w:ilvl="1" w:tplc="70445C56">
      <w:start w:val="1"/>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F758C"/>
    <w:multiLevelType w:val="multilevel"/>
    <w:tmpl w:val="27C05B5C"/>
    <w:lvl w:ilvl="0">
      <w:start w:val="1"/>
      <w:numFmt w:val="decimal"/>
      <w:lvlText w:val="%1."/>
      <w:lvlJc w:val="left"/>
      <w:pPr>
        <w:ind w:left="364"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4" w:hanging="1800"/>
      </w:pPr>
      <w:rPr>
        <w:rFonts w:hint="default"/>
      </w:rPr>
    </w:lvl>
  </w:abstractNum>
  <w:abstractNum w:abstractNumId="17">
    <w:nsid w:val="43E733CF"/>
    <w:multiLevelType w:val="hybridMultilevel"/>
    <w:tmpl w:val="2CD655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58A6272"/>
    <w:multiLevelType w:val="multilevel"/>
    <w:tmpl w:val="27C05B5C"/>
    <w:lvl w:ilvl="0">
      <w:start w:val="1"/>
      <w:numFmt w:val="decimal"/>
      <w:lvlText w:val="%1."/>
      <w:lvlJc w:val="left"/>
      <w:pPr>
        <w:ind w:left="364"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4" w:hanging="1800"/>
      </w:pPr>
      <w:rPr>
        <w:rFonts w:hint="default"/>
      </w:rPr>
    </w:lvl>
  </w:abstractNum>
  <w:abstractNum w:abstractNumId="19">
    <w:nsid w:val="569B4CAB"/>
    <w:multiLevelType w:val="multilevel"/>
    <w:tmpl w:val="DB1413A4"/>
    <w:lvl w:ilvl="0">
      <w:start w:val="1"/>
      <w:numFmt w:val="decimal"/>
      <w:lvlText w:val="%1."/>
      <w:lvlJc w:val="left"/>
      <w:pPr>
        <w:ind w:left="364" w:hanging="360"/>
      </w:pPr>
      <w:rPr>
        <w:rFonts w:hint="default"/>
      </w:rPr>
    </w:lvl>
    <w:lvl w:ilvl="1">
      <w:start w:val="1"/>
      <w:numFmt w:val="decimal"/>
      <w:isLgl/>
      <w:lvlText w:val="%1.%2."/>
      <w:lvlJc w:val="left"/>
      <w:pPr>
        <w:ind w:left="424" w:hanging="42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4" w:hanging="1800"/>
      </w:pPr>
      <w:rPr>
        <w:rFonts w:hint="default"/>
      </w:rPr>
    </w:lvl>
  </w:abstractNum>
  <w:abstractNum w:abstractNumId="20">
    <w:nsid w:val="63C67CC8"/>
    <w:multiLevelType w:val="hybridMultilevel"/>
    <w:tmpl w:val="CE3EAB76"/>
    <w:lvl w:ilvl="0" w:tplc="427049D4">
      <w:start w:val="2"/>
      <w:numFmt w:val="bullet"/>
      <w:lvlText w:val="-"/>
      <w:lvlJc w:val="left"/>
      <w:pPr>
        <w:ind w:left="364" w:hanging="360"/>
      </w:pPr>
      <w:rPr>
        <w:rFonts w:ascii="Times New Roman" w:eastAsiaTheme="minorHAnsi" w:hAnsi="Times New Roman" w:cs="Times New Roman" w:hint="default"/>
        <w:color w:val="auto"/>
      </w:rPr>
    </w:lvl>
    <w:lvl w:ilvl="1" w:tplc="04020003" w:tentative="1">
      <w:start w:val="1"/>
      <w:numFmt w:val="bullet"/>
      <w:lvlText w:val="o"/>
      <w:lvlJc w:val="left"/>
      <w:pPr>
        <w:ind w:left="1084" w:hanging="360"/>
      </w:pPr>
      <w:rPr>
        <w:rFonts w:ascii="Courier New" w:hAnsi="Courier New" w:cs="Courier New" w:hint="default"/>
      </w:rPr>
    </w:lvl>
    <w:lvl w:ilvl="2" w:tplc="04020005" w:tentative="1">
      <w:start w:val="1"/>
      <w:numFmt w:val="bullet"/>
      <w:lvlText w:val=""/>
      <w:lvlJc w:val="left"/>
      <w:pPr>
        <w:ind w:left="1804" w:hanging="360"/>
      </w:pPr>
      <w:rPr>
        <w:rFonts w:ascii="Wingdings" w:hAnsi="Wingdings" w:hint="default"/>
      </w:rPr>
    </w:lvl>
    <w:lvl w:ilvl="3" w:tplc="04020001" w:tentative="1">
      <w:start w:val="1"/>
      <w:numFmt w:val="bullet"/>
      <w:lvlText w:val=""/>
      <w:lvlJc w:val="left"/>
      <w:pPr>
        <w:ind w:left="2524" w:hanging="360"/>
      </w:pPr>
      <w:rPr>
        <w:rFonts w:ascii="Symbol" w:hAnsi="Symbol" w:hint="default"/>
      </w:rPr>
    </w:lvl>
    <w:lvl w:ilvl="4" w:tplc="04020003" w:tentative="1">
      <w:start w:val="1"/>
      <w:numFmt w:val="bullet"/>
      <w:lvlText w:val="o"/>
      <w:lvlJc w:val="left"/>
      <w:pPr>
        <w:ind w:left="3244" w:hanging="360"/>
      </w:pPr>
      <w:rPr>
        <w:rFonts w:ascii="Courier New" w:hAnsi="Courier New" w:cs="Courier New" w:hint="default"/>
      </w:rPr>
    </w:lvl>
    <w:lvl w:ilvl="5" w:tplc="04020005" w:tentative="1">
      <w:start w:val="1"/>
      <w:numFmt w:val="bullet"/>
      <w:lvlText w:val=""/>
      <w:lvlJc w:val="left"/>
      <w:pPr>
        <w:ind w:left="3964" w:hanging="360"/>
      </w:pPr>
      <w:rPr>
        <w:rFonts w:ascii="Wingdings" w:hAnsi="Wingdings" w:hint="default"/>
      </w:rPr>
    </w:lvl>
    <w:lvl w:ilvl="6" w:tplc="04020001" w:tentative="1">
      <w:start w:val="1"/>
      <w:numFmt w:val="bullet"/>
      <w:lvlText w:val=""/>
      <w:lvlJc w:val="left"/>
      <w:pPr>
        <w:ind w:left="4684" w:hanging="360"/>
      </w:pPr>
      <w:rPr>
        <w:rFonts w:ascii="Symbol" w:hAnsi="Symbol" w:hint="default"/>
      </w:rPr>
    </w:lvl>
    <w:lvl w:ilvl="7" w:tplc="04020003" w:tentative="1">
      <w:start w:val="1"/>
      <w:numFmt w:val="bullet"/>
      <w:lvlText w:val="o"/>
      <w:lvlJc w:val="left"/>
      <w:pPr>
        <w:ind w:left="5404" w:hanging="360"/>
      </w:pPr>
      <w:rPr>
        <w:rFonts w:ascii="Courier New" w:hAnsi="Courier New" w:cs="Courier New" w:hint="default"/>
      </w:rPr>
    </w:lvl>
    <w:lvl w:ilvl="8" w:tplc="04020005" w:tentative="1">
      <w:start w:val="1"/>
      <w:numFmt w:val="bullet"/>
      <w:lvlText w:val=""/>
      <w:lvlJc w:val="left"/>
      <w:pPr>
        <w:ind w:left="6124" w:hanging="360"/>
      </w:pPr>
      <w:rPr>
        <w:rFonts w:ascii="Wingdings" w:hAnsi="Wingdings" w:hint="default"/>
      </w:rPr>
    </w:lvl>
  </w:abstractNum>
  <w:abstractNum w:abstractNumId="21">
    <w:nsid w:val="72B255D4"/>
    <w:multiLevelType w:val="hybridMultilevel"/>
    <w:tmpl w:val="E8163C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 w:numId="8">
    <w:abstractNumId w:val="19"/>
  </w:num>
  <w:num w:numId="9">
    <w:abstractNumId w:val="18"/>
  </w:num>
  <w:num w:numId="10">
    <w:abstractNumId w:val="17"/>
  </w:num>
  <w:num w:numId="11">
    <w:abstractNumId w:val="7"/>
  </w:num>
  <w:num w:numId="12">
    <w:abstractNumId w:val="16"/>
  </w:num>
  <w:num w:numId="13">
    <w:abstractNumId w:val="20"/>
  </w:num>
  <w:num w:numId="14">
    <w:abstractNumId w:val="9"/>
  </w:num>
  <w:num w:numId="15">
    <w:abstractNumId w:val="21"/>
  </w:num>
  <w:num w:numId="16">
    <w:abstractNumId w:val="10"/>
  </w:num>
  <w:num w:numId="17">
    <w:abstractNumId w:val="8"/>
  </w:num>
  <w:num w:numId="18">
    <w:abstractNumId w:val="14"/>
  </w:num>
  <w:num w:numId="19">
    <w:abstractNumId w:val="12"/>
  </w:num>
  <w:num w:numId="20">
    <w:abstractNumId w:val="15"/>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1F"/>
    <w:rsid w:val="00004877"/>
    <w:rsid w:val="0002143E"/>
    <w:rsid w:val="00021665"/>
    <w:rsid w:val="00023FF2"/>
    <w:rsid w:val="000249CE"/>
    <w:rsid w:val="00031BC8"/>
    <w:rsid w:val="00036066"/>
    <w:rsid w:val="00083262"/>
    <w:rsid w:val="00083578"/>
    <w:rsid w:val="00086097"/>
    <w:rsid w:val="000928BE"/>
    <w:rsid w:val="00092E42"/>
    <w:rsid w:val="000968D3"/>
    <w:rsid w:val="000A5965"/>
    <w:rsid w:val="000C1A45"/>
    <w:rsid w:val="000C4349"/>
    <w:rsid w:val="000C4C4A"/>
    <w:rsid w:val="001259CE"/>
    <w:rsid w:val="00140046"/>
    <w:rsid w:val="001405F4"/>
    <w:rsid w:val="0014214F"/>
    <w:rsid w:val="00146078"/>
    <w:rsid w:val="00150DC6"/>
    <w:rsid w:val="00155ED7"/>
    <w:rsid w:val="001659EC"/>
    <w:rsid w:val="00183D12"/>
    <w:rsid w:val="001B7EF8"/>
    <w:rsid w:val="001C27BB"/>
    <w:rsid w:val="001C405B"/>
    <w:rsid w:val="001D0F23"/>
    <w:rsid w:val="001E3F64"/>
    <w:rsid w:val="001E76AE"/>
    <w:rsid w:val="001F0DE2"/>
    <w:rsid w:val="001F321D"/>
    <w:rsid w:val="001F65A1"/>
    <w:rsid w:val="00237F1D"/>
    <w:rsid w:val="00244E22"/>
    <w:rsid w:val="002451A0"/>
    <w:rsid w:val="0026121F"/>
    <w:rsid w:val="002C2E97"/>
    <w:rsid w:val="003432BB"/>
    <w:rsid w:val="00347645"/>
    <w:rsid w:val="00361273"/>
    <w:rsid w:val="00364C4D"/>
    <w:rsid w:val="00381420"/>
    <w:rsid w:val="0038588C"/>
    <w:rsid w:val="00386874"/>
    <w:rsid w:val="00387EBB"/>
    <w:rsid w:val="003B6EF3"/>
    <w:rsid w:val="003C0132"/>
    <w:rsid w:val="003C1951"/>
    <w:rsid w:val="003C1D6D"/>
    <w:rsid w:val="003C5DC9"/>
    <w:rsid w:val="00407624"/>
    <w:rsid w:val="00415E1C"/>
    <w:rsid w:val="004175F0"/>
    <w:rsid w:val="0046592B"/>
    <w:rsid w:val="00475BF6"/>
    <w:rsid w:val="0048703C"/>
    <w:rsid w:val="00491003"/>
    <w:rsid w:val="004B2B23"/>
    <w:rsid w:val="004C605D"/>
    <w:rsid w:val="00532029"/>
    <w:rsid w:val="00545DAA"/>
    <w:rsid w:val="00561847"/>
    <w:rsid w:val="0057480F"/>
    <w:rsid w:val="005A240B"/>
    <w:rsid w:val="005E2151"/>
    <w:rsid w:val="006635F7"/>
    <w:rsid w:val="00673C82"/>
    <w:rsid w:val="00682894"/>
    <w:rsid w:val="00686D58"/>
    <w:rsid w:val="006872A6"/>
    <w:rsid w:val="006C68CE"/>
    <w:rsid w:val="006F70C1"/>
    <w:rsid w:val="00715BD7"/>
    <w:rsid w:val="00724BCB"/>
    <w:rsid w:val="007304D8"/>
    <w:rsid w:val="007370D2"/>
    <w:rsid w:val="007811D3"/>
    <w:rsid w:val="0078489C"/>
    <w:rsid w:val="007A6306"/>
    <w:rsid w:val="007A7F02"/>
    <w:rsid w:val="007B3007"/>
    <w:rsid w:val="007C6B3B"/>
    <w:rsid w:val="007D0205"/>
    <w:rsid w:val="007E235A"/>
    <w:rsid w:val="00801FF0"/>
    <w:rsid w:val="00802E46"/>
    <w:rsid w:val="00816F64"/>
    <w:rsid w:val="00832088"/>
    <w:rsid w:val="00861342"/>
    <w:rsid w:val="00862101"/>
    <w:rsid w:val="00874B28"/>
    <w:rsid w:val="008A316C"/>
    <w:rsid w:val="008A69F5"/>
    <w:rsid w:val="008A72D4"/>
    <w:rsid w:val="008B2447"/>
    <w:rsid w:val="008B31DE"/>
    <w:rsid w:val="008B7264"/>
    <w:rsid w:val="008C062D"/>
    <w:rsid w:val="008E5297"/>
    <w:rsid w:val="0091317D"/>
    <w:rsid w:val="00960D8A"/>
    <w:rsid w:val="009C07DA"/>
    <w:rsid w:val="009C23F8"/>
    <w:rsid w:val="009C7648"/>
    <w:rsid w:val="009D37C4"/>
    <w:rsid w:val="009F08A1"/>
    <w:rsid w:val="009F483C"/>
    <w:rsid w:val="00A028A0"/>
    <w:rsid w:val="00A03B8B"/>
    <w:rsid w:val="00A109B3"/>
    <w:rsid w:val="00A33F8C"/>
    <w:rsid w:val="00A354DE"/>
    <w:rsid w:val="00A4306D"/>
    <w:rsid w:val="00A44587"/>
    <w:rsid w:val="00A559B7"/>
    <w:rsid w:val="00A80157"/>
    <w:rsid w:val="00A838AF"/>
    <w:rsid w:val="00A92367"/>
    <w:rsid w:val="00A935D7"/>
    <w:rsid w:val="00AD2037"/>
    <w:rsid w:val="00AD78E9"/>
    <w:rsid w:val="00AD7E47"/>
    <w:rsid w:val="00AE3D2F"/>
    <w:rsid w:val="00AF5BFA"/>
    <w:rsid w:val="00B124AB"/>
    <w:rsid w:val="00B12BA6"/>
    <w:rsid w:val="00B21514"/>
    <w:rsid w:val="00B25C39"/>
    <w:rsid w:val="00B46DDA"/>
    <w:rsid w:val="00B57332"/>
    <w:rsid w:val="00BA43D3"/>
    <w:rsid w:val="00BC052A"/>
    <w:rsid w:val="00BC5EEA"/>
    <w:rsid w:val="00BE6B2F"/>
    <w:rsid w:val="00BF0200"/>
    <w:rsid w:val="00BF1AE5"/>
    <w:rsid w:val="00C0761B"/>
    <w:rsid w:val="00C1140A"/>
    <w:rsid w:val="00C217D7"/>
    <w:rsid w:val="00C334DB"/>
    <w:rsid w:val="00C34D6D"/>
    <w:rsid w:val="00C43DEE"/>
    <w:rsid w:val="00C53692"/>
    <w:rsid w:val="00C718E4"/>
    <w:rsid w:val="00C93CFC"/>
    <w:rsid w:val="00CA6442"/>
    <w:rsid w:val="00CA6D75"/>
    <w:rsid w:val="00CB0CE8"/>
    <w:rsid w:val="00CD0DE2"/>
    <w:rsid w:val="00CE3FD9"/>
    <w:rsid w:val="00CE450B"/>
    <w:rsid w:val="00CE6133"/>
    <w:rsid w:val="00CE7830"/>
    <w:rsid w:val="00CF7C1D"/>
    <w:rsid w:val="00D04733"/>
    <w:rsid w:val="00D06B7C"/>
    <w:rsid w:val="00D54A51"/>
    <w:rsid w:val="00D56BCF"/>
    <w:rsid w:val="00D625B3"/>
    <w:rsid w:val="00D73196"/>
    <w:rsid w:val="00D80EF8"/>
    <w:rsid w:val="00D83A4A"/>
    <w:rsid w:val="00DA147F"/>
    <w:rsid w:val="00DC18BE"/>
    <w:rsid w:val="00DD1691"/>
    <w:rsid w:val="00E15630"/>
    <w:rsid w:val="00E2497B"/>
    <w:rsid w:val="00E4282E"/>
    <w:rsid w:val="00E43C74"/>
    <w:rsid w:val="00E62269"/>
    <w:rsid w:val="00E702BB"/>
    <w:rsid w:val="00E87CAE"/>
    <w:rsid w:val="00EA6BC2"/>
    <w:rsid w:val="00ED652A"/>
    <w:rsid w:val="00EE3C0C"/>
    <w:rsid w:val="00EE49F3"/>
    <w:rsid w:val="00EF7210"/>
    <w:rsid w:val="00F07BB7"/>
    <w:rsid w:val="00F12C40"/>
    <w:rsid w:val="00F238A7"/>
    <w:rsid w:val="00F245D5"/>
    <w:rsid w:val="00F32341"/>
    <w:rsid w:val="00F421AA"/>
    <w:rsid w:val="00F80413"/>
    <w:rsid w:val="00FB526E"/>
    <w:rsid w:val="00FC1FF6"/>
    <w:rsid w:val="00FE01C3"/>
    <w:rsid w:val="00FE63ED"/>
    <w:rsid w:val="00FF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133"/>
    <w:rPr>
      <w:rFonts w:ascii="Calibri" w:eastAsia="Calibri" w:hAnsi="Calibri" w:cs="Times New Roman"/>
      <w:lang w:val="en-US"/>
    </w:rPr>
  </w:style>
  <w:style w:type="paragraph" w:styleId="Heading2">
    <w:name w:val="heading 2"/>
    <w:basedOn w:val="Normal"/>
    <w:next w:val="Normal"/>
    <w:link w:val="Heading2Char"/>
    <w:qFormat/>
    <w:rsid w:val="00F421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21F"/>
    <w:pPr>
      <w:spacing w:after="0" w:line="240" w:lineRule="auto"/>
      <w:ind w:left="720"/>
    </w:pPr>
    <w:rPr>
      <w:rFonts w:ascii="Times New Roman" w:eastAsia="Times New Roman" w:hAnsi="Times New Roman"/>
      <w:sz w:val="24"/>
      <w:szCs w:val="24"/>
      <w:lang w:eastAsia="bg-BG"/>
    </w:rPr>
  </w:style>
  <w:style w:type="paragraph" w:styleId="FootnoteText">
    <w:name w:val="footnote text"/>
    <w:basedOn w:val="Normal"/>
    <w:link w:val="FootnoteTextChar"/>
    <w:uiPriority w:val="99"/>
    <w:rsid w:val="000C4C4A"/>
    <w:rPr>
      <w:sz w:val="20"/>
      <w:szCs w:val="20"/>
    </w:rPr>
  </w:style>
  <w:style w:type="character" w:customStyle="1" w:styleId="FootnoteTextChar">
    <w:name w:val="Footnote Text Char"/>
    <w:basedOn w:val="DefaultParagraphFont"/>
    <w:link w:val="FootnoteText"/>
    <w:uiPriority w:val="99"/>
    <w:rsid w:val="000C4C4A"/>
    <w:rPr>
      <w:rFonts w:ascii="Calibri" w:eastAsia="Calibri" w:hAnsi="Calibri" w:cs="Times New Roman"/>
      <w:sz w:val="20"/>
      <w:szCs w:val="20"/>
      <w:lang w:val="en-US"/>
    </w:rPr>
  </w:style>
  <w:style w:type="character" w:styleId="FootnoteReference">
    <w:name w:val="footnote reference"/>
    <w:uiPriority w:val="99"/>
    <w:rsid w:val="000C4C4A"/>
    <w:rPr>
      <w:vertAlign w:val="superscript"/>
    </w:rPr>
  </w:style>
  <w:style w:type="character" w:customStyle="1" w:styleId="Heading2Char">
    <w:name w:val="Heading 2 Char"/>
    <w:basedOn w:val="DefaultParagraphFont"/>
    <w:link w:val="Heading2"/>
    <w:rsid w:val="00F421AA"/>
    <w:rPr>
      <w:rFonts w:ascii="Arial" w:eastAsia="Calibri" w:hAnsi="Arial" w:cs="Arial"/>
      <w:b/>
      <w:bCs/>
      <w:i/>
      <w:iCs/>
      <w:sz w:val="28"/>
      <w:szCs w:val="28"/>
      <w:lang w:val="en-US"/>
    </w:rPr>
  </w:style>
  <w:style w:type="paragraph" w:styleId="Header">
    <w:name w:val="header"/>
    <w:basedOn w:val="Normal"/>
    <w:link w:val="HeaderChar"/>
    <w:uiPriority w:val="99"/>
    <w:unhideWhenUsed/>
    <w:rsid w:val="001E76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76AE"/>
  </w:style>
  <w:style w:type="paragraph" w:styleId="Footer">
    <w:name w:val="footer"/>
    <w:basedOn w:val="Normal"/>
    <w:link w:val="FooterChar"/>
    <w:uiPriority w:val="99"/>
    <w:unhideWhenUsed/>
    <w:rsid w:val="001E76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76AE"/>
  </w:style>
  <w:style w:type="paragraph" w:customStyle="1" w:styleId="GfAheading1">
    <w:name w:val="GfA heading 1"/>
    <w:basedOn w:val="Normal"/>
    <w:rsid w:val="009D37C4"/>
    <w:pPr>
      <w:numPr>
        <w:numId w:val="17"/>
      </w:numPr>
      <w:spacing w:after="0" w:line="240" w:lineRule="auto"/>
    </w:pPr>
    <w:rPr>
      <w:rFonts w:ascii="Times New Roman" w:eastAsia="Times New Roman" w:hAnsi="Times New Roman"/>
      <w:b/>
      <w:snapToGrid w:val="0"/>
      <w:sz w:val="24"/>
      <w:szCs w:val="24"/>
    </w:rPr>
  </w:style>
  <w:style w:type="paragraph" w:customStyle="1" w:styleId="NumPar2">
    <w:name w:val="NumPar 2"/>
    <w:basedOn w:val="Heading2"/>
    <w:next w:val="Normal"/>
    <w:rsid w:val="009D37C4"/>
    <w:pPr>
      <w:keepNext w:val="0"/>
      <w:numPr>
        <w:ilvl w:val="1"/>
        <w:numId w:val="17"/>
      </w:numPr>
      <w:spacing w:before="0" w:after="240" w:line="240" w:lineRule="auto"/>
      <w:jc w:val="both"/>
      <w:outlineLvl w:val="9"/>
    </w:pPr>
    <w:rPr>
      <w:rFonts w:ascii="Times New Roman" w:eastAsia="Times New Roman" w:hAnsi="Times New Roman" w:cs="Times New Roman"/>
      <w:b w:val="0"/>
      <w:bCs w:val="0"/>
      <w:iCs w:val="0"/>
      <w:snapToGrid w:val="0"/>
      <w:sz w:val="24"/>
      <w:szCs w:val="20"/>
      <w:lang w:val="fr-FR"/>
    </w:rPr>
  </w:style>
  <w:style w:type="character" w:styleId="Hyperlink">
    <w:name w:val="Hyperlink"/>
    <w:basedOn w:val="DefaultParagraphFont"/>
    <w:uiPriority w:val="99"/>
    <w:unhideWhenUsed/>
    <w:rsid w:val="00D73196"/>
    <w:rPr>
      <w:color w:val="0000FF" w:themeColor="hyperlink"/>
      <w:u w:val="single"/>
    </w:rPr>
  </w:style>
  <w:style w:type="paragraph" w:styleId="BalloonText">
    <w:name w:val="Balloon Text"/>
    <w:basedOn w:val="Normal"/>
    <w:link w:val="BalloonTextChar"/>
    <w:uiPriority w:val="99"/>
    <w:semiHidden/>
    <w:unhideWhenUsed/>
    <w:rsid w:val="00146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078"/>
    <w:rPr>
      <w:rFonts w:ascii="Tahoma" w:hAnsi="Tahoma" w:cs="Tahoma"/>
      <w:sz w:val="16"/>
      <w:szCs w:val="16"/>
    </w:rPr>
  </w:style>
  <w:style w:type="character" w:styleId="CommentReference">
    <w:name w:val="annotation reference"/>
    <w:basedOn w:val="DefaultParagraphFont"/>
    <w:uiPriority w:val="99"/>
    <w:semiHidden/>
    <w:unhideWhenUsed/>
    <w:rsid w:val="00031BC8"/>
    <w:rPr>
      <w:sz w:val="16"/>
      <w:szCs w:val="16"/>
    </w:rPr>
  </w:style>
  <w:style w:type="paragraph" w:styleId="CommentText">
    <w:name w:val="annotation text"/>
    <w:basedOn w:val="Normal"/>
    <w:link w:val="CommentTextChar"/>
    <w:uiPriority w:val="99"/>
    <w:semiHidden/>
    <w:unhideWhenUsed/>
    <w:rsid w:val="00031BC8"/>
    <w:pPr>
      <w:spacing w:line="240" w:lineRule="auto"/>
    </w:pPr>
    <w:rPr>
      <w:sz w:val="20"/>
      <w:szCs w:val="20"/>
    </w:rPr>
  </w:style>
  <w:style w:type="character" w:customStyle="1" w:styleId="CommentTextChar">
    <w:name w:val="Comment Text Char"/>
    <w:basedOn w:val="DefaultParagraphFont"/>
    <w:link w:val="CommentText"/>
    <w:uiPriority w:val="99"/>
    <w:semiHidden/>
    <w:rsid w:val="00031BC8"/>
    <w:rPr>
      <w:sz w:val="20"/>
      <w:szCs w:val="20"/>
    </w:rPr>
  </w:style>
  <w:style w:type="paragraph" w:styleId="CommentSubject">
    <w:name w:val="annotation subject"/>
    <w:basedOn w:val="CommentText"/>
    <w:next w:val="CommentText"/>
    <w:link w:val="CommentSubjectChar"/>
    <w:uiPriority w:val="99"/>
    <w:semiHidden/>
    <w:unhideWhenUsed/>
    <w:rsid w:val="00031BC8"/>
    <w:rPr>
      <w:b/>
      <w:bCs/>
    </w:rPr>
  </w:style>
  <w:style w:type="character" w:customStyle="1" w:styleId="CommentSubjectChar">
    <w:name w:val="Comment Subject Char"/>
    <w:basedOn w:val="CommentTextChar"/>
    <w:link w:val="CommentSubject"/>
    <w:uiPriority w:val="99"/>
    <w:semiHidden/>
    <w:rsid w:val="00031B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133"/>
    <w:rPr>
      <w:rFonts w:ascii="Calibri" w:eastAsia="Calibri" w:hAnsi="Calibri" w:cs="Times New Roman"/>
      <w:lang w:val="en-US"/>
    </w:rPr>
  </w:style>
  <w:style w:type="paragraph" w:styleId="Heading2">
    <w:name w:val="heading 2"/>
    <w:basedOn w:val="Normal"/>
    <w:next w:val="Normal"/>
    <w:link w:val="Heading2Char"/>
    <w:qFormat/>
    <w:rsid w:val="00F421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21F"/>
    <w:pPr>
      <w:spacing w:after="0" w:line="240" w:lineRule="auto"/>
      <w:ind w:left="720"/>
    </w:pPr>
    <w:rPr>
      <w:rFonts w:ascii="Times New Roman" w:eastAsia="Times New Roman" w:hAnsi="Times New Roman"/>
      <w:sz w:val="24"/>
      <w:szCs w:val="24"/>
      <w:lang w:eastAsia="bg-BG"/>
    </w:rPr>
  </w:style>
  <w:style w:type="paragraph" w:styleId="FootnoteText">
    <w:name w:val="footnote text"/>
    <w:basedOn w:val="Normal"/>
    <w:link w:val="FootnoteTextChar"/>
    <w:uiPriority w:val="99"/>
    <w:rsid w:val="000C4C4A"/>
    <w:rPr>
      <w:sz w:val="20"/>
      <w:szCs w:val="20"/>
    </w:rPr>
  </w:style>
  <w:style w:type="character" w:customStyle="1" w:styleId="FootnoteTextChar">
    <w:name w:val="Footnote Text Char"/>
    <w:basedOn w:val="DefaultParagraphFont"/>
    <w:link w:val="FootnoteText"/>
    <w:uiPriority w:val="99"/>
    <w:rsid w:val="000C4C4A"/>
    <w:rPr>
      <w:rFonts w:ascii="Calibri" w:eastAsia="Calibri" w:hAnsi="Calibri" w:cs="Times New Roman"/>
      <w:sz w:val="20"/>
      <w:szCs w:val="20"/>
      <w:lang w:val="en-US"/>
    </w:rPr>
  </w:style>
  <w:style w:type="character" w:styleId="FootnoteReference">
    <w:name w:val="footnote reference"/>
    <w:uiPriority w:val="99"/>
    <w:rsid w:val="000C4C4A"/>
    <w:rPr>
      <w:vertAlign w:val="superscript"/>
    </w:rPr>
  </w:style>
  <w:style w:type="character" w:customStyle="1" w:styleId="Heading2Char">
    <w:name w:val="Heading 2 Char"/>
    <w:basedOn w:val="DefaultParagraphFont"/>
    <w:link w:val="Heading2"/>
    <w:rsid w:val="00F421AA"/>
    <w:rPr>
      <w:rFonts w:ascii="Arial" w:eastAsia="Calibri" w:hAnsi="Arial" w:cs="Arial"/>
      <w:b/>
      <w:bCs/>
      <w:i/>
      <w:iCs/>
      <w:sz w:val="28"/>
      <w:szCs w:val="28"/>
      <w:lang w:val="en-US"/>
    </w:rPr>
  </w:style>
  <w:style w:type="paragraph" w:styleId="Header">
    <w:name w:val="header"/>
    <w:basedOn w:val="Normal"/>
    <w:link w:val="HeaderChar"/>
    <w:uiPriority w:val="99"/>
    <w:unhideWhenUsed/>
    <w:rsid w:val="001E76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76AE"/>
  </w:style>
  <w:style w:type="paragraph" w:styleId="Footer">
    <w:name w:val="footer"/>
    <w:basedOn w:val="Normal"/>
    <w:link w:val="FooterChar"/>
    <w:uiPriority w:val="99"/>
    <w:unhideWhenUsed/>
    <w:rsid w:val="001E76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76AE"/>
  </w:style>
  <w:style w:type="paragraph" w:customStyle="1" w:styleId="GfAheading1">
    <w:name w:val="GfA heading 1"/>
    <w:basedOn w:val="Normal"/>
    <w:rsid w:val="009D37C4"/>
    <w:pPr>
      <w:numPr>
        <w:numId w:val="17"/>
      </w:numPr>
      <w:spacing w:after="0" w:line="240" w:lineRule="auto"/>
    </w:pPr>
    <w:rPr>
      <w:rFonts w:ascii="Times New Roman" w:eastAsia="Times New Roman" w:hAnsi="Times New Roman"/>
      <w:b/>
      <w:snapToGrid w:val="0"/>
      <w:sz w:val="24"/>
      <w:szCs w:val="24"/>
    </w:rPr>
  </w:style>
  <w:style w:type="paragraph" w:customStyle="1" w:styleId="NumPar2">
    <w:name w:val="NumPar 2"/>
    <w:basedOn w:val="Heading2"/>
    <w:next w:val="Normal"/>
    <w:rsid w:val="009D37C4"/>
    <w:pPr>
      <w:keepNext w:val="0"/>
      <w:numPr>
        <w:ilvl w:val="1"/>
        <w:numId w:val="17"/>
      </w:numPr>
      <w:spacing w:before="0" w:after="240" w:line="240" w:lineRule="auto"/>
      <w:jc w:val="both"/>
      <w:outlineLvl w:val="9"/>
    </w:pPr>
    <w:rPr>
      <w:rFonts w:ascii="Times New Roman" w:eastAsia="Times New Roman" w:hAnsi="Times New Roman" w:cs="Times New Roman"/>
      <w:b w:val="0"/>
      <w:bCs w:val="0"/>
      <w:iCs w:val="0"/>
      <w:snapToGrid w:val="0"/>
      <w:sz w:val="24"/>
      <w:szCs w:val="20"/>
      <w:lang w:val="fr-FR"/>
    </w:rPr>
  </w:style>
  <w:style w:type="character" w:styleId="Hyperlink">
    <w:name w:val="Hyperlink"/>
    <w:basedOn w:val="DefaultParagraphFont"/>
    <w:uiPriority w:val="99"/>
    <w:unhideWhenUsed/>
    <w:rsid w:val="00D73196"/>
    <w:rPr>
      <w:color w:val="0000FF" w:themeColor="hyperlink"/>
      <w:u w:val="single"/>
    </w:rPr>
  </w:style>
  <w:style w:type="paragraph" w:styleId="BalloonText">
    <w:name w:val="Balloon Text"/>
    <w:basedOn w:val="Normal"/>
    <w:link w:val="BalloonTextChar"/>
    <w:uiPriority w:val="99"/>
    <w:semiHidden/>
    <w:unhideWhenUsed/>
    <w:rsid w:val="00146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078"/>
    <w:rPr>
      <w:rFonts w:ascii="Tahoma" w:hAnsi="Tahoma" w:cs="Tahoma"/>
      <w:sz w:val="16"/>
      <w:szCs w:val="16"/>
    </w:rPr>
  </w:style>
  <w:style w:type="character" w:styleId="CommentReference">
    <w:name w:val="annotation reference"/>
    <w:basedOn w:val="DefaultParagraphFont"/>
    <w:uiPriority w:val="99"/>
    <w:semiHidden/>
    <w:unhideWhenUsed/>
    <w:rsid w:val="00031BC8"/>
    <w:rPr>
      <w:sz w:val="16"/>
      <w:szCs w:val="16"/>
    </w:rPr>
  </w:style>
  <w:style w:type="paragraph" w:styleId="CommentText">
    <w:name w:val="annotation text"/>
    <w:basedOn w:val="Normal"/>
    <w:link w:val="CommentTextChar"/>
    <w:uiPriority w:val="99"/>
    <w:semiHidden/>
    <w:unhideWhenUsed/>
    <w:rsid w:val="00031BC8"/>
    <w:pPr>
      <w:spacing w:line="240" w:lineRule="auto"/>
    </w:pPr>
    <w:rPr>
      <w:sz w:val="20"/>
      <w:szCs w:val="20"/>
    </w:rPr>
  </w:style>
  <w:style w:type="character" w:customStyle="1" w:styleId="CommentTextChar">
    <w:name w:val="Comment Text Char"/>
    <w:basedOn w:val="DefaultParagraphFont"/>
    <w:link w:val="CommentText"/>
    <w:uiPriority w:val="99"/>
    <w:semiHidden/>
    <w:rsid w:val="00031BC8"/>
    <w:rPr>
      <w:sz w:val="20"/>
      <w:szCs w:val="20"/>
    </w:rPr>
  </w:style>
  <w:style w:type="paragraph" w:styleId="CommentSubject">
    <w:name w:val="annotation subject"/>
    <w:basedOn w:val="CommentText"/>
    <w:next w:val="CommentText"/>
    <w:link w:val="CommentSubjectChar"/>
    <w:uiPriority w:val="99"/>
    <w:semiHidden/>
    <w:unhideWhenUsed/>
    <w:rsid w:val="00031BC8"/>
    <w:rPr>
      <w:b/>
      <w:bCs/>
    </w:rPr>
  </w:style>
  <w:style w:type="character" w:customStyle="1" w:styleId="CommentSubjectChar">
    <w:name w:val="Comment Subject Char"/>
    <w:basedOn w:val="CommentTextChar"/>
    <w:link w:val="CommentSubject"/>
    <w:uiPriority w:val="99"/>
    <w:semiHidden/>
    <w:rsid w:val="00031B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imis.minfin.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D5A7-9665-4EF3-A458-0E12C84D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MRRB</Company>
  <LinksUpToDate>false</LinksUpToDate>
  <CharactersWithSpaces>26408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Иванова</dc:creator>
  <cp:lastModifiedBy>User</cp:lastModifiedBy>
  <cp:revision>6</cp:revision>
  <cp:lastPrinted>2015-01-27T13:55:00Z</cp:lastPrinted>
  <dcterms:created xsi:type="dcterms:W3CDTF">2015-01-27T07:56:00Z</dcterms:created>
  <dcterms:modified xsi:type="dcterms:W3CDTF">2015-04-29T07:40:00Z</dcterms:modified>
</cp:coreProperties>
</file>